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543BF" w14:textId="23193588" w:rsidR="007A2DED" w:rsidRPr="00091D78" w:rsidRDefault="00095569" w:rsidP="00091D78">
      <w:pPr>
        <w:pStyle w:val="Pealkiri2"/>
        <w:jc w:val="center"/>
        <w:rPr>
          <w:rFonts w:ascii="Times New Roman" w:hAnsi="Times New Roman" w:cs="Times New Roman"/>
          <w:b/>
          <w:bCs/>
          <w:smallCaps/>
          <w:color w:val="5B9BD5" w:themeColor="accent1"/>
          <w:spacing w:val="5"/>
          <w:sz w:val="28"/>
          <w:szCs w:val="28"/>
        </w:rPr>
      </w:pPr>
      <w:r w:rsidRPr="00DE28FA">
        <w:rPr>
          <w:rStyle w:val="Tugevviide"/>
          <w:rFonts w:ascii="Times New Roman" w:hAnsi="Times New Roman" w:cs="Times New Roman"/>
          <w:sz w:val="28"/>
          <w:szCs w:val="28"/>
        </w:rPr>
        <w:t>TOETUSE SAAJA REKONSTRUEERIMISHANKED</w:t>
      </w:r>
    </w:p>
    <w:p w14:paraId="7C5A839B" w14:textId="08CC2327" w:rsidR="00FF6C7F" w:rsidRPr="00794907" w:rsidRDefault="007A2DED" w:rsidP="00D013DB">
      <w:pPr>
        <w:pStyle w:val="Pealkiri2"/>
        <w:jc w:val="center"/>
        <w:rPr>
          <w:rFonts w:ascii="Times New Roman" w:hAnsi="Times New Roman" w:cs="Times New Roman"/>
          <w:b/>
          <w:sz w:val="28"/>
          <w:szCs w:val="28"/>
        </w:rPr>
      </w:pPr>
      <w:r w:rsidRPr="00794907">
        <w:rPr>
          <w:rFonts w:ascii="Times New Roman" w:hAnsi="Times New Roman" w:cs="Times New Roman"/>
          <w:b/>
          <w:sz w:val="28"/>
          <w:szCs w:val="28"/>
        </w:rPr>
        <w:t xml:space="preserve"> Juhised toetuse saaja hangete läbiviimiseks elektroonilises riigihangete registris ning l</w:t>
      </w:r>
      <w:r w:rsidR="00095569" w:rsidRPr="00794907">
        <w:rPr>
          <w:rFonts w:ascii="Times New Roman" w:hAnsi="Times New Roman" w:cs="Times New Roman"/>
          <w:b/>
          <w:sz w:val="28"/>
          <w:szCs w:val="28"/>
        </w:rPr>
        <w:t>ubatavad</w:t>
      </w:r>
      <w:r w:rsidR="00D6426F" w:rsidRPr="00794907">
        <w:rPr>
          <w:rFonts w:ascii="Times New Roman" w:hAnsi="Times New Roman" w:cs="Times New Roman"/>
          <w:b/>
          <w:sz w:val="28"/>
          <w:szCs w:val="28"/>
        </w:rPr>
        <w:t xml:space="preserve"> kõrvaldamise alused,</w:t>
      </w:r>
      <w:r w:rsidR="00095569" w:rsidRPr="00794907">
        <w:rPr>
          <w:rFonts w:ascii="Times New Roman" w:hAnsi="Times New Roman" w:cs="Times New Roman"/>
          <w:b/>
          <w:sz w:val="28"/>
          <w:szCs w:val="28"/>
        </w:rPr>
        <w:t xml:space="preserve"> kvalifitseerimistingimused</w:t>
      </w:r>
      <w:r w:rsidR="00D6426F" w:rsidRPr="00794907">
        <w:rPr>
          <w:rFonts w:ascii="Times New Roman" w:hAnsi="Times New Roman" w:cs="Times New Roman"/>
          <w:b/>
          <w:sz w:val="28"/>
          <w:szCs w:val="28"/>
        </w:rPr>
        <w:t xml:space="preserve">, vastavustingimused </w:t>
      </w:r>
      <w:r w:rsidR="00095569" w:rsidRPr="00794907">
        <w:rPr>
          <w:rFonts w:ascii="Times New Roman" w:hAnsi="Times New Roman" w:cs="Times New Roman"/>
          <w:b/>
          <w:sz w:val="28"/>
          <w:szCs w:val="28"/>
        </w:rPr>
        <w:t xml:space="preserve"> ja hindamiskriteeriumid</w:t>
      </w:r>
    </w:p>
    <w:p w14:paraId="1E85229C" w14:textId="08B221D7" w:rsidR="007A2DED" w:rsidRPr="007A2DED" w:rsidRDefault="007A2DED" w:rsidP="007A2DED">
      <w:pPr>
        <w:rPr>
          <w:rFonts w:ascii="Times New Roman" w:hAnsi="Times New Roman" w:cs="Times New Roman"/>
        </w:rPr>
      </w:pPr>
    </w:p>
    <w:p w14:paraId="1147069B" w14:textId="7B161A43" w:rsidR="00287CF1" w:rsidRPr="00091D78" w:rsidRDefault="007A2DED" w:rsidP="00287CF1">
      <w:pPr>
        <w:pStyle w:val="Loendilik"/>
        <w:numPr>
          <w:ilvl w:val="0"/>
          <w:numId w:val="1"/>
        </w:numPr>
        <w:jc w:val="both"/>
        <w:rPr>
          <w:rStyle w:val="Tugev"/>
          <w:rFonts w:ascii="Times New Roman" w:hAnsi="Times New Roman" w:cs="Times New Roman"/>
          <w:b w:val="0"/>
          <w:bCs w:val="0"/>
        </w:rPr>
      </w:pPr>
      <w:r w:rsidRPr="007A2DED">
        <w:rPr>
          <w:rFonts w:ascii="Times New Roman" w:hAnsi="Times New Roman" w:cs="Times New Roman"/>
        </w:rPr>
        <w:t>Toetuse saajast korteriühistu</w:t>
      </w:r>
      <w:r w:rsidR="00CC7483">
        <w:rPr>
          <w:rFonts w:ascii="Times New Roman" w:hAnsi="Times New Roman" w:cs="Times New Roman"/>
        </w:rPr>
        <w:t xml:space="preserve"> (edaspidi käesolevas dokumendis nimetatud ka kui </w:t>
      </w:r>
      <w:proofErr w:type="spellStart"/>
      <w:r w:rsidR="00CC7483">
        <w:rPr>
          <w:rFonts w:ascii="Times New Roman" w:hAnsi="Times New Roman" w:cs="Times New Roman"/>
        </w:rPr>
        <w:t>hankija</w:t>
      </w:r>
      <w:proofErr w:type="spellEnd"/>
      <w:r w:rsidR="00CC7483">
        <w:rPr>
          <w:rFonts w:ascii="Times New Roman" w:hAnsi="Times New Roman" w:cs="Times New Roman"/>
        </w:rPr>
        <w:t xml:space="preserve"> või toetuse saaja)</w:t>
      </w:r>
      <w:r w:rsidRPr="007A2DED">
        <w:rPr>
          <w:rFonts w:ascii="Times New Roman" w:hAnsi="Times New Roman" w:cs="Times New Roman"/>
        </w:rPr>
        <w:t xml:space="preserve"> rekonstrueerimistööde hanked tuleb viia</w:t>
      </w:r>
      <w:r w:rsidR="0030472C">
        <w:rPr>
          <w:rFonts w:ascii="Times New Roman" w:hAnsi="Times New Roman" w:cs="Times New Roman"/>
        </w:rPr>
        <w:t xml:space="preserve"> läbi</w:t>
      </w:r>
      <w:r w:rsidRPr="007A2DED">
        <w:rPr>
          <w:rFonts w:ascii="Times New Roman" w:hAnsi="Times New Roman" w:cs="Times New Roman"/>
        </w:rPr>
        <w:t xml:space="preserve"> vastavalt ettevõtlus- ja infoteh</w:t>
      </w:r>
      <w:r w:rsidR="00E334A8">
        <w:rPr>
          <w:rFonts w:ascii="Times New Roman" w:hAnsi="Times New Roman" w:cs="Times New Roman"/>
        </w:rPr>
        <w:t>n</w:t>
      </w:r>
      <w:r w:rsidRPr="007A2DED">
        <w:rPr>
          <w:rFonts w:ascii="Times New Roman" w:hAnsi="Times New Roman" w:cs="Times New Roman"/>
        </w:rPr>
        <w:t xml:space="preserve">oloogiaministri 04.04.2019.a määruse nr 24 „Korterelamute rekonstrueerimise toetuse andmise tingimused ja kord“ </w:t>
      </w:r>
      <w:r w:rsidRPr="007A2DED">
        <w:rPr>
          <w:rStyle w:val="Tugev"/>
          <w:rFonts w:ascii="Times New Roman" w:hAnsi="Times New Roman" w:cs="Times New Roman"/>
          <w:b w:val="0"/>
          <w:bCs w:val="0"/>
          <w:color w:val="000000"/>
          <w:bdr w:val="none" w:sz="0" w:space="0" w:color="auto" w:frame="1"/>
        </w:rPr>
        <w:t>§ -</w:t>
      </w:r>
      <w:proofErr w:type="spellStart"/>
      <w:r w:rsidRPr="007A2DED">
        <w:rPr>
          <w:rStyle w:val="Tugev"/>
          <w:rFonts w:ascii="Times New Roman" w:hAnsi="Times New Roman" w:cs="Times New Roman"/>
          <w:b w:val="0"/>
          <w:bCs w:val="0"/>
          <w:color w:val="000000"/>
          <w:bdr w:val="none" w:sz="0" w:space="0" w:color="auto" w:frame="1"/>
        </w:rPr>
        <w:t>le</w:t>
      </w:r>
      <w:proofErr w:type="spellEnd"/>
      <w:r w:rsidRPr="007A2DED">
        <w:rPr>
          <w:rStyle w:val="Tugev"/>
          <w:rFonts w:ascii="Times New Roman" w:hAnsi="Times New Roman" w:cs="Times New Roman"/>
          <w:b w:val="0"/>
          <w:bCs w:val="0"/>
          <w:color w:val="000000"/>
          <w:bdr w:val="none" w:sz="0" w:space="0" w:color="auto" w:frame="1"/>
        </w:rPr>
        <w:t xml:space="preserve"> 28 elektrooniliselt riigihangete registris Sihtasutuse KredEx kui rakendusüksuse kodulehel kirjeldatud viisil</w:t>
      </w:r>
      <w:r w:rsidR="00593D60">
        <w:rPr>
          <w:rStyle w:val="Tugev"/>
          <w:rFonts w:ascii="Times New Roman" w:hAnsi="Times New Roman" w:cs="Times New Roman"/>
          <w:b w:val="0"/>
          <w:bCs w:val="0"/>
          <w:color w:val="000000"/>
          <w:bdr w:val="none" w:sz="0" w:space="0" w:color="auto" w:frame="1"/>
        </w:rPr>
        <w:t xml:space="preserve"> juhul kui toetuse saajast korteriühistule on eraldatud toetust eelnimetatud määruse alusel</w:t>
      </w:r>
      <w:r w:rsidRPr="007A2DED">
        <w:rPr>
          <w:rStyle w:val="Tugev"/>
          <w:rFonts w:ascii="Times New Roman" w:hAnsi="Times New Roman" w:cs="Times New Roman"/>
          <w:b w:val="0"/>
          <w:bCs w:val="0"/>
          <w:color w:val="000000"/>
          <w:bdr w:val="none" w:sz="0" w:space="0" w:color="auto" w:frame="1"/>
        </w:rPr>
        <w:t xml:space="preserve">. Toetuse andmise aluseks oleva määruse </w:t>
      </w:r>
      <w:r>
        <w:rPr>
          <w:rStyle w:val="Tugev"/>
          <w:rFonts w:ascii="Times New Roman" w:hAnsi="Times New Roman" w:cs="Times New Roman"/>
          <w:b w:val="0"/>
          <w:bCs w:val="0"/>
          <w:color w:val="000000"/>
          <w:bdr w:val="none" w:sz="0" w:space="0" w:color="auto" w:frame="1"/>
        </w:rPr>
        <w:t xml:space="preserve">muudatusega võeti 29.04.2020.a vastu (jõustunud 11.05.2020.a) mh ka täpsustus, et toetuse saaja kohustub kasutama ainult neid rekonstrueerimistööde hangete juhendmaterjale, mille rakendusüksus on ette näinud. </w:t>
      </w:r>
      <w:r>
        <w:rPr>
          <w:rStyle w:val="Allmrkuseviide"/>
          <w:rFonts w:ascii="Times New Roman" w:hAnsi="Times New Roman" w:cs="Times New Roman"/>
          <w:color w:val="000000"/>
          <w:bdr w:val="none" w:sz="0" w:space="0" w:color="auto" w:frame="1"/>
        </w:rPr>
        <w:footnoteReference w:id="1"/>
      </w:r>
      <w:r>
        <w:rPr>
          <w:rStyle w:val="Tugev"/>
          <w:rFonts w:ascii="Times New Roman" w:hAnsi="Times New Roman" w:cs="Times New Roman"/>
          <w:b w:val="0"/>
          <w:bCs w:val="0"/>
          <w:color w:val="000000"/>
          <w:bdr w:val="none" w:sz="0" w:space="0" w:color="auto" w:frame="1"/>
        </w:rPr>
        <w:t xml:space="preserve"> Eeltoodule tuginedes täpsustatakse käesolevas dokumendis toetuse saajate hangete tingimusi ning tuuakse välja põhimõttelised</w:t>
      </w:r>
      <w:r w:rsidR="00F137BC">
        <w:rPr>
          <w:rStyle w:val="Tugev"/>
          <w:rFonts w:ascii="Times New Roman" w:hAnsi="Times New Roman" w:cs="Times New Roman"/>
          <w:b w:val="0"/>
          <w:bCs w:val="0"/>
          <w:color w:val="000000"/>
          <w:bdr w:val="none" w:sz="0" w:space="0" w:color="auto" w:frame="1"/>
        </w:rPr>
        <w:t xml:space="preserve"> ja praktikas ilmnenult täpsustusi vajavad</w:t>
      </w:r>
      <w:r>
        <w:rPr>
          <w:rStyle w:val="Tugev"/>
          <w:rFonts w:ascii="Times New Roman" w:hAnsi="Times New Roman" w:cs="Times New Roman"/>
          <w:b w:val="0"/>
          <w:bCs w:val="0"/>
          <w:color w:val="000000"/>
          <w:bdr w:val="none" w:sz="0" w:space="0" w:color="auto" w:frame="1"/>
        </w:rPr>
        <w:t xml:space="preserve"> suunised toetuse saaja hangete läbiviimiseks. Toetuse saajad on kohustatud kasutama toetuse saaja hanget</w:t>
      </w:r>
      <w:r w:rsidR="000B4935">
        <w:rPr>
          <w:rStyle w:val="Tugev"/>
          <w:rFonts w:ascii="Times New Roman" w:hAnsi="Times New Roman" w:cs="Times New Roman"/>
          <w:b w:val="0"/>
          <w:bCs w:val="0"/>
          <w:color w:val="000000"/>
          <w:bdr w:val="none" w:sz="0" w:space="0" w:color="auto" w:frame="1"/>
        </w:rPr>
        <w:t>e läbiviimisel ainult käesoleva dokumendi punktis 3 ja selle alapunktides</w:t>
      </w:r>
      <w:r>
        <w:rPr>
          <w:rStyle w:val="Tugev"/>
          <w:rFonts w:ascii="Times New Roman" w:hAnsi="Times New Roman" w:cs="Times New Roman"/>
          <w:b w:val="0"/>
          <w:bCs w:val="0"/>
          <w:color w:val="000000"/>
          <w:bdr w:val="none" w:sz="0" w:space="0" w:color="auto" w:frame="1"/>
        </w:rPr>
        <w:t xml:space="preserve"> toodud  kvalifitseerimistingimusi, kõrvaldamise aluseid, vastavustingimusi ja hindamiskriteeriume. Käesolev, uuendatud tingimuste ja kriteeriumite dokument rakendub alates </w:t>
      </w:r>
      <w:r w:rsidR="005C7317">
        <w:rPr>
          <w:rStyle w:val="Tugev"/>
          <w:rFonts w:ascii="Times New Roman" w:hAnsi="Times New Roman" w:cs="Times New Roman"/>
          <w:b w:val="0"/>
          <w:bCs w:val="0"/>
          <w:color w:val="000000"/>
          <w:bdr w:val="none" w:sz="0" w:space="0" w:color="auto" w:frame="1"/>
        </w:rPr>
        <w:t>0</w:t>
      </w:r>
      <w:r w:rsidR="00A97234">
        <w:rPr>
          <w:rStyle w:val="Tugev"/>
          <w:rFonts w:ascii="Times New Roman" w:hAnsi="Times New Roman" w:cs="Times New Roman"/>
          <w:b w:val="0"/>
          <w:bCs w:val="0"/>
          <w:color w:val="000000"/>
          <w:bdr w:val="none" w:sz="0" w:space="0" w:color="auto" w:frame="1"/>
        </w:rPr>
        <w:t>8</w:t>
      </w:r>
      <w:r w:rsidR="005C7317">
        <w:rPr>
          <w:rStyle w:val="Tugev"/>
          <w:rFonts w:ascii="Times New Roman" w:hAnsi="Times New Roman" w:cs="Times New Roman"/>
          <w:b w:val="0"/>
          <w:bCs w:val="0"/>
          <w:color w:val="000000"/>
          <w:bdr w:val="none" w:sz="0" w:space="0" w:color="auto" w:frame="1"/>
        </w:rPr>
        <w:t>.04.</w:t>
      </w:r>
      <w:r>
        <w:rPr>
          <w:rStyle w:val="Tugev"/>
          <w:rFonts w:ascii="Times New Roman" w:hAnsi="Times New Roman" w:cs="Times New Roman"/>
          <w:b w:val="0"/>
          <w:bCs w:val="0"/>
          <w:color w:val="000000"/>
          <w:bdr w:val="none" w:sz="0" w:space="0" w:color="auto" w:frame="1"/>
        </w:rPr>
        <w:t xml:space="preserve">2021.a. </w:t>
      </w:r>
    </w:p>
    <w:p w14:paraId="78A9811C" w14:textId="77777777" w:rsidR="00091D78" w:rsidRPr="00091D78" w:rsidRDefault="00091D78" w:rsidP="00091D78">
      <w:pPr>
        <w:pStyle w:val="Loendilik"/>
        <w:jc w:val="both"/>
        <w:rPr>
          <w:rFonts w:ascii="Times New Roman" w:hAnsi="Times New Roman" w:cs="Times New Roman"/>
        </w:rPr>
      </w:pPr>
    </w:p>
    <w:p w14:paraId="6614CDA1" w14:textId="5F78930E" w:rsidR="00794907" w:rsidRPr="00794907" w:rsidRDefault="00593D60" w:rsidP="00794907">
      <w:pPr>
        <w:pStyle w:val="Loendilik"/>
        <w:numPr>
          <w:ilvl w:val="0"/>
          <w:numId w:val="1"/>
        </w:numPr>
        <w:jc w:val="center"/>
        <w:rPr>
          <w:rFonts w:ascii="Times New Roman" w:hAnsi="Times New Roman" w:cs="Times New Roman"/>
          <w:b/>
          <w:u w:val="single"/>
        </w:rPr>
      </w:pPr>
      <w:r w:rsidRPr="00794907">
        <w:rPr>
          <w:rFonts w:ascii="Times New Roman" w:hAnsi="Times New Roman" w:cs="Times New Roman"/>
          <w:b/>
          <w:u w:val="single"/>
        </w:rPr>
        <w:t>Üldised juhised toetuse saaja hangete läbiviimiseks elektroonilises riigihangete registris</w:t>
      </w:r>
    </w:p>
    <w:p w14:paraId="2FAE5B5A" w14:textId="77777777" w:rsidR="00794907" w:rsidRPr="00CC7483" w:rsidRDefault="00794907" w:rsidP="00794907">
      <w:pPr>
        <w:pStyle w:val="Loendilik"/>
        <w:jc w:val="both"/>
        <w:rPr>
          <w:rFonts w:ascii="Times New Roman" w:hAnsi="Times New Roman" w:cs="Times New Roman"/>
        </w:rPr>
      </w:pPr>
    </w:p>
    <w:p w14:paraId="376A2B14" w14:textId="7EE49CA1" w:rsidR="00794907" w:rsidRPr="00CC7483" w:rsidRDefault="00794907" w:rsidP="00794907">
      <w:pPr>
        <w:pStyle w:val="Loendilik"/>
        <w:numPr>
          <w:ilvl w:val="1"/>
          <w:numId w:val="1"/>
        </w:numPr>
        <w:jc w:val="both"/>
        <w:rPr>
          <w:rFonts w:ascii="Times New Roman" w:hAnsi="Times New Roman" w:cs="Times New Roman"/>
        </w:rPr>
      </w:pPr>
      <w:r w:rsidRPr="00CC7483">
        <w:rPr>
          <w:rFonts w:ascii="Times New Roman" w:hAnsi="Times New Roman" w:cs="Times New Roman"/>
        </w:rPr>
        <w:t xml:space="preserve">Elektrooniline riigihangete register asub aadressil riigihanked.riik.ee. Toetuse saaja hangete läbiviimisel elektroonilist riigihangete registrit kasutades tuleks lähtuda ka Rahandusministeeriumi avaldatud juhendist toetuse saajatele, kes ei ole </w:t>
      </w:r>
      <w:proofErr w:type="spellStart"/>
      <w:r w:rsidRPr="00CC7483">
        <w:rPr>
          <w:rFonts w:ascii="Times New Roman" w:hAnsi="Times New Roman" w:cs="Times New Roman"/>
        </w:rPr>
        <w:t>hankijad</w:t>
      </w:r>
      <w:proofErr w:type="spellEnd"/>
      <w:r w:rsidRPr="00CC7483">
        <w:rPr>
          <w:rFonts w:ascii="Times New Roman" w:hAnsi="Times New Roman" w:cs="Times New Roman"/>
        </w:rPr>
        <w:t xml:space="preserve"> riigihangete seaduse tähenduses. Vastav juhend on kättesaadav siit: </w:t>
      </w:r>
      <w:hyperlink r:id="rId8" w:history="1">
        <w:r w:rsidRPr="00CC7483">
          <w:rPr>
            <w:rFonts w:ascii="Times New Roman" w:hAnsi="Times New Roman" w:cs="Times New Roman"/>
            <w:color w:val="0000FF"/>
          </w:rPr>
          <w:t>juhis_toetuse_saajatele_al_22.10.2018_280619.pdf (rahandusministeerium.ee)</w:t>
        </w:r>
      </w:hyperlink>
      <w:r w:rsidRPr="00CC7483">
        <w:rPr>
          <w:rFonts w:ascii="Times New Roman" w:hAnsi="Times New Roman" w:cs="Times New Roman"/>
        </w:rPr>
        <w:t xml:space="preserve"> </w:t>
      </w:r>
    </w:p>
    <w:p w14:paraId="082E8DB7" w14:textId="03AB3D39" w:rsidR="00794907" w:rsidRPr="00CC7483" w:rsidRDefault="00794907" w:rsidP="00794907">
      <w:pPr>
        <w:pStyle w:val="Loendilik"/>
        <w:jc w:val="both"/>
        <w:rPr>
          <w:rFonts w:ascii="Times New Roman" w:hAnsi="Times New Roman" w:cs="Times New Roman"/>
        </w:rPr>
      </w:pPr>
    </w:p>
    <w:p w14:paraId="5B586456" w14:textId="0DFB54C2" w:rsidR="00794907" w:rsidRPr="00CC7483" w:rsidRDefault="00794907" w:rsidP="00794907">
      <w:pPr>
        <w:pStyle w:val="Loendilik"/>
        <w:numPr>
          <w:ilvl w:val="1"/>
          <w:numId w:val="1"/>
        </w:numPr>
        <w:jc w:val="both"/>
        <w:rPr>
          <w:rFonts w:ascii="Times New Roman" w:hAnsi="Times New Roman" w:cs="Times New Roman"/>
        </w:rPr>
      </w:pPr>
      <w:r w:rsidRPr="00CC7483">
        <w:rPr>
          <w:rFonts w:ascii="Times New Roman" w:hAnsi="Times New Roman" w:cs="Times New Roman"/>
        </w:rPr>
        <w:t>T</w:t>
      </w:r>
      <w:r w:rsidR="00CC7483" w:rsidRPr="00CC7483">
        <w:rPr>
          <w:rFonts w:ascii="Times New Roman" w:hAnsi="Times New Roman" w:cs="Times New Roman"/>
        </w:rPr>
        <w:t xml:space="preserve">oetuse saaja hanget </w:t>
      </w:r>
      <w:proofErr w:type="spellStart"/>
      <w:r w:rsidR="00CC7483" w:rsidRPr="00CC7483">
        <w:rPr>
          <w:rFonts w:ascii="Times New Roman" w:hAnsi="Times New Roman" w:cs="Times New Roman"/>
        </w:rPr>
        <w:t>ettevalmistades</w:t>
      </w:r>
      <w:proofErr w:type="spellEnd"/>
      <w:r w:rsidRPr="00CC7483">
        <w:rPr>
          <w:rFonts w:ascii="Times New Roman" w:hAnsi="Times New Roman" w:cs="Times New Roman"/>
        </w:rPr>
        <w:t xml:space="preserve"> tuleb Sihtasutuse KredEx esindaja (toetuste haldur) märkida hankes vaatlejaks. Pakkumuse esitamise tähtaja määramisel tuleb arvestada, et pakkumuse esitamise tähtaeg oleks vähemalt 14 kalendripäeva arvates hanke avalikustamisest elektroonilises riigihangete registris. Juhul, kui hanke käigus on vajalik hankedokumente muuta, siis tuleb määrata uus pakkumuste esitamise tähtaeg, mis on vähemalt 10 kalendripäeva arvates uuendatud dokumentide avaldamisest.  </w:t>
      </w:r>
    </w:p>
    <w:p w14:paraId="3DCA7C43" w14:textId="6C2FA324" w:rsidR="00794907" w:rsidRPr="00CC7483" w:rsidRDefault="00794907" w:rsidP="00794907">
      <w:pPr>
        <w:pStyle w:val="Loendilik"/>
        <w:jc w:val="both"/>
        <w:rPr>
          <w:rFonts w:ascii="Times New Roman" w:hAnsi="Times New Roman" w:cs="Times New Roman"/>
        </w:rPr>
      </w:pPr>
    </w:p>
    <w:p w14:paraId="7A927C95" w14:textId="539654B7" w:rsidR="00794907" w:rsidRPr="00050961" w:rsidRDefault="00794907" w:rsidP="00794907">
      <w:pPr>
        <w:pStyle w:val="Loendilik"/>
        <w:numPr>
          <w:ilvl w:val="1"/>
          <w:numId w:val="1"/>
        </w:numPr>
        <w:jc w:val="both"/>
        <w:rPr>
          <w:rFonts w:ascii="Times New Roman" w:hAnsi="Times New Roman" w:cs="Times New Roman"/>
        </w:rPr>
      </w:pPr>
      <w:r w:rsidRPr="00CC7483">
        <w:rPr>
          <w:rFonts w:ascii="Times New Roman" w:hAnsi="Times New Roman" w:cs="Times New Roman"/>
        </w:rPr>
        <w:t>Juhul kui toetuse saaja hankes esitatakse läbi teabevahetuse küsimusi, tuleb toetuse saajal vastata kõigile küsimustele hiljemalt 3 kalendripäeva jooksul arvates küsimuse esitamisest. Küsimusele tuleb vastata läbi elektroonilise riigihangete registri konkreetse hanke teabevahetuse selliselt, et vastus oleks avalikult kättesaadav, st vastus oleks nähtav k</w:t>
      </w:r>
      <w:r w:rsidR="00CC7483">
        <w:rPr>
          <w:rFonts w:ascii="Times New Roman" w:hAnsi="Times New Roman" w:cs="Times New Roman"/>
        </w:rPr>
        <w:t>õigile huvilistele.</w:t>
      </w:r>
      <w:r w:rsidRPr="00CC7483">
        <w:rPr>
          <w:rFonts w:ascii="Times New Roman" w:hAnsi="Times New Roman" w:cs="Times New Roman"/>
        </w:rPr>
        <w:t xml:space="preserve"> Juhul, kui toetuse saajale esitatakse võimaliku pakkuja poolt küsimusi viitega, et vastata tuleb ainult küsijale, on toetuse saajal võimalik vastata ainult küsijale juhul, kui on üheselt selge, et vastuses sisalduv informatsioon ei tekita ühtegi eelist vastuse saajale (st lähtuda tuleb asjaolust, et küsimuse vastus ei sisaldaks sellist infot, mis võib mõistlikult eeldades mõjutada hankes pakkumuste tegemist teiste pakkujate poolt). Elektroonilises riigihangete registris küsimustele vastamisega ei muudeta</w:t>
      </w:r>
      <w:r w:rsidR="00CC7483">
        <w:rPr>
          <w:rFonts w:ascii="Times New Roman" w:hAnsi="Times New Roman" w:cs="Times New Roman"/>
        </w:rPr>
        <w:t xml:space="preserve"> ühelgi juhul</w:t>
      </w:r>
      <w:r w:rsidRPr="00CC7483">
        <w:rPr>
          <w:rFonts w:ascii="Times New Roman" w:hAnsi="Times New Roman" w:cs="Times New Roman"/>
        </w:rPr>
        <w:t xml:space="preserve"> </w:t>
      </w:r>
      <w:r w:rsidR="00501FBE">
        <w:rPr>
          <w:rFonts w:ascii="Times New Roman" w:hAnsi="Times New Roman" w:cs="Times New Roman"/>
        </w:rPr>
        <w:t xml:space="preserve">toetuse saaja </w:t>
      </w:r>
      <w:r w:rsidRPr="00CC7483">
        <w:rPr>
          <w:rFonts w:ascii="Times New Roman" w:hAnsi="Times New Roman" w:cs="Times New Roman"/>
        </w:rPr>
        <w:t>hanke</w:t>
      </w:r>
      <w:r w:rsidR="00501FBE">
        <w:rPr>
          <w:rFonts w:ascii="Times New Roman" w:hAnsi="Times New Roman" w:cs="Times New Roman"/>
        </w:rPr>
        <w:t xml:space="preserve"> </w:t>
      </w:r>
      <w:r w:rsidRPr="00CC7483">
        <w:rPr>
          <w:rFonts w:ascii="Times New Roman" w:hAnsi="Times New Roman" w:cs="Times New Roman"/>
        </w:rPr>
        <w:t>dokumente</w:t>
      </w:r>
      <w:r w:rsidRPr="00050961">
        <w:rPr>
          <w:rFonts w:ascii="Times New Roman" w:hAnsi="Times New Roman" w:cs="Times New Roman"/>
        </w:rPr>
        <w:t xml:space="preserve">. </w:t>
      </w:r>
      <w:r w:rsidR="00037883" w:rsidRPr="00050961">
        <w:rPr>
          <w:rFonts w:ascii="Times New Roman" w:hAnsi="Times New Roman" w:cs="Times New Roman"/>
        </w:rPr>
        <w:lastRenderedPageBreak/>
        <w:t>Juhul, kui</w:t>
      </w:r>
      <w:r w:rsidR="00501FBE">
        <w:rPr>
          <w:rFonts w:ascii="Times New Roman" w:hAnsi="Times New Roman" w:cs="Times New Roman"/>
        </w:rPr>
        <w:t xml:space="preserve"> toetuse saaja hanke </w:t>
      </w:r>
      <w:r w:rsidR="00037883" w:rsidRPr="00050961">
        <w:rPr>
          <w:rFonts w:ascii="Times New Roman" w:hAnsi="Times New Roman" w:cs="Times New Roman"/>
        </w:rPr>
        <w:t xml:space="preserve">dokumente on vaja muuta, tuleb dokumentide uuesti avaldamisel juhinduda punktis 2.2 nimetatud tähtajast. </w:t>
      </w:r>
    </w:p>
    <w:p w14:paraId="41CCCC88" w14:textId="77777777" w:rsidR="00794907" w:rsidRPr="00794907" w:rsidRDefault="00794907" w:rsidP="00794907">
      <w:pPr>
        <w:pStyle w:val="Loendilik"/>
        <w:rPr>
          <w:rFonts w:ascii="Times New Roman" w:hAnsi="Times New Roman" w:cs="Times New Roman"/>
          <w:u w:val="single"/>
        </w:rPr>
      </w:pPr>
    </w:p>
    <w:p w14:paraId="45B16CFD" w14:textId="3C3D01B0" w:rsidR="00794907" w:rsidRPr="00CC7483" w:rsidRDefault="00794907" w:rsidP="00794907">
      <w:pPr>
        <w:pStyle w:val="Loendilik"/>
        <w:numPr>
          <w:ilvl w:val="1"/>
          <w:numId w:val="1"/>
        </w:numPr>
        <w:jc w:val="both"/>
        <w:rPr>
          <w:rFonts w:ascii="Times New Roman" w:hAnsi="Times New Roman" w:cs="Times New Roman"/>
        </w:rPr>
      </w:pPr>
      <w:r w:rsidRPr="00CC7483">
        <w:rPr>
          <w:rFonts w:ascii="Times New Roman" w:hAnsi="Times New Roman" w:cs="Times New Roman"/>
        </w:rPr>
        <w:t xml:space="preserve">Toetuse saaja hankes on pakkujal lubatud </w:t>
      </w:r>
      <w:r w:rsidR="00BA3EEA" w:rsidRPr="00CC7483">
        <w:rPr>
          <w:rFonts w:ascii="Times New Roman" w:hAnsi="Times New Roman" w:cs="Times New Roman"/>
        </w:rPr>
        <w:t>seatud kvalifitseerimisnõuetele vastavust tõendada ka teise isiku vahenditele tuginedes. Juhul, kui tuginetakse teise isiku vahenditele, peab pakkumusega koos olema</w:t>
      </w:r>
      <w:r w:rsidR="00CC7483">
        <w:rPr>
          <w:rFonts w:ascii="Times New Roman" w:hAnsi="Times New Roman" w:cs="Times New Roman"/>
        </w:rPr>
        <w:t xml:space="preserve"> alati</w:t>
      </w:r>
      <w:r w:rsidR="00BA3EEA" w:rsidRPr="00CC7483">
        <w:rPr>
          <w:rFonts w:ascii="Times New Roman" w:hAnsi="Times New Roman" w:cs="Times New Roman"/>
        </w:rPr>
        <w:t xml:space="preserve"> esitatud ka teise isiku esindaja kirjalik kinnitus, et ta on nõus oma vahenditele tuginemisega ning vastavas kinnituses peab sisalduma ka selgitus,</w:t>
      </w:r>
      <w:r w:rsidR="00AA78B0">
        <w:rPr>
          <w:rFonts w:ascii="Times New Roman" w:hAnsi="Times New Roman" w:cs="Times New Roman"/>
        </w:rPr>
        <w:t xml:space="preserve"> millises osas vastav isik </w:t>
      </w:r>
      <w:r w:rsidR="00BA3EEA" w:rsidRPr="00CC7483">
        <w:rPr>
          <w:rFonts w:ascii="Times New Roman" w:hAnsi="Times New Roman" w:cs="Times New Roman"/>
        </w:rPr>
        <w:t>lepingu täitmises osaleb, juhul kui pakkuja, kes isiku vahenditele tugineb, edukaks osutub (näiteks, kui tuginetakse teise isiku käibele, siis vastav isik kinnitab</w:t>
      </w:r>
      <w:r w:rsidR="00AC6868">
        <w:rPr>
          <w:rFonts w:ascii="Times New Roman" w:hAnsi="Times New Roman" w:cs="Times New Roman"/>
        </w:rPr>
        <w:t>,</w:t>
      </w:r>
      <w:r w:rsidR="00BA3EEA" w:rsidRPr="00CC7483">
        <w:rPr>
          <w:rFonts w:ascii="Times New Roman" w:hAnsi="Times New Roman" w:cs="Times New Roman"/>
        </w:rPr>
        <w:t xml:space="preserve"> et on nõus enda and</w:t>
      </w:r>
      <w:r w:rsidR="00CC7483">
        <w:rPr>
          <w:rFonts w:ascii="Times New Roman" w:hAnsi="Times New Roman" w:cs="Times New Roman"/>
        </w:rPr>
        <w:t>m</w:t>
      </w:r>
      <w:r w:rsidR="00BA3EEA" w:rsidRPr="00CC7483">
        <w:rPr>
          <w:rFonts w:ascii="Times New Roman" w:hAnsi="Times New Roman" w:cs="Times New Roman"/>
        </w:rPr>
        <w:t>etel</w:t>
      </w:r>
      <w:r w:rsidR="00CC7483">
        <w:rPr>
          <w:rFonts w:ascii="Times New Roman" w:hAnsi="Times New Roman" w:cs="Times New Roman"/>
        </w:rPr>
        <w:t>e</w:t>
      </w:r>
      <w:r w:rsidR="00D85C1C">
        <w:rPr>
          <w:rFonts w:ascii="Times New Roman" w:hAnsi="Times New Roman" w:cs="Times New Roman"/>
        </w:rPr>
        <w:t xml:space="preserve"> tuginemisega ning osaleb lepingu täitmises </w:t>
      </w:r>
      <w:r w:rsidR="00BA3EEA" w:rsidRPr="00CC7483">
        <w:rPr>
          <w:rFonts w:ascii="Times New Roman" w:hAnsi="Times New Roman" w:cs="Times New Roman"/>
        </w:rPr>
        <w:t xml:space="preserve">lepingu täitmiseks vajaliku finantsvõimekuse </w:t>
      </w:r>
      <w:proofErr w:type="spellStart"/>
      <w:r w:rsidR="00BA3EEA" w:rsidRPr="00CC7483">
        <w:rPr>
          <w:rFonts w:ascii="Times New Roman" w:hAnsi="Times New Roman" w:cs="Times New Roman"/>
        </w:rPr>
        <w:t>tagajana</w:t>
      </w:r>
      <w:proofErr w:type="spellEnd"/>
      <w:r w:rsidR="00BA3EEA" w:rsidRPr="00CC7483">
        <w:rPr>
          <w:rFonts w:ascii="Times New Roman" w:hAnsi="Times New Roman" w:cs="Times New Roman"/>
        </w:rPr>
        <w:t>. Juhul, kui tuginetakse teise isiku töötajatele, peab isik kinnitama, et ta lubab oma tööta</w:t>
      </w:r>
      <w:r w:rsidR="00AA78B0">
        <w:rPr>
          <w:rFonts w:ascii="Times New Roman" w:hAnsi="Times New Roman" w:cs="Times New Roman"/>
        </w:rPr>
        <w:t xml:space="preserve">jaid kasutada ning vastava </w:t>
      </w:r>
      <w:r w:rsidR="00BA3EEA" w:rsidRPr="00CC7483">
        <w:rPr>
          <w:rFonts w:ascii="Times New Roman" w:hAnsi="Times New Roman" w:cs="Times New Roman"/>
        </w:rPr>
        <w:t>lepingu täitmises osalevad töötajad</w:t>
      </w:r>
      <w:r w:rsidR="00653658">
        <w:rPr>
          <w:rFonts w:ascii="Times New Roman" w:hAnsi="Times New Roman" w:cs="Times New Roman"/>
        </w:rPr>
        <w:t xml:space="preserve"> töötavad</w:t>
      </w:r>
      <w:r w:rsidR="00BA3EEA" w:rsidRPr="00CC7483">
        <w:rPr>
          <w:rFonts w:ascii="Times New Roman" w:hAnsi="Times New Roman" w:cs="Times New Roman"/>
        </w:rPr>
        <w:t xml:space="preserve"> vastavalt hankes nimetatud positsioonile). </w:t>
      </w:r>
    </w:p>
    <w:p w14:paraId="398C6532" w14:textId="77777777" w:rsidR="00BA3EEA" w:rsidRPr="00CC7483" w:rsidRDefault="00BA3EEA" w:rsidP="00BA3EEA">
      <w:pPr>
        <w:pStyle w:val="Loendilik"/>
        <w:rPr>
          <w:rFonts w:ascii="Times New Roman" w:hAnsi="Times New Roman" w:cs="Times New Roman"/>
        </w:rPr>
      </w:pPr>
    </w:p>
    <w:p w14:paraId="2895A94F" w14:textId="513E90A8" w:rsidR="00BA3EEA" w:rsidRPr="00CC7483" w:rsidRDefault="00BA3EEA" w:rsidP="00794907">
      <w:pPr>
        <w:pStyle w:val="Loendilik"/>
        <w:numPr>
          <w:ilvl w:val="1"/>
          <w:numId w:val="1"/>
        </w:numPr>
        <w:jc w:val="both"/>
        <w:rPr>
          <w:rFonts w:ascii="Times New Roman" w:hAnsi="Times New Roman" w:cs="Times New Roman"/>
        </w:rPr>
      </w:pPr>
      <w:r w:rsidRPr="00CC7483">
        <w:rPr>
          <w:rFonts w:ascii="Times New Roman" w:hAnsi="Times New Roman" w:cs="Times New Roman"/>
        </w:rPr>
        <w:t>Juhul, kui pakkuja soovib oma meeskonna pädevuse tõendamiseks kasutada isikuid, kes ei ole pakkuja töötajad, tuleb esitada pakkumusega koos ka iga sellise füüsilise isiku kirjalik kinnitus, milles on toodud, et vastav isik on nõus en</w:t>
      </w:r>
      <w:r w:rsidR="00AA78B0">
        <w:rPr>
          <w:rFonts w:ascii="Times New Roman" w:hAnsi="Times New Roman" w:cs="Times New Roman"/>
        </w:rPr>
        <w:t xml:space="preserve">da kaasamisega ning osaleb </w:t>
      </w:r>
      <w:r w:rsidRPr="00CC7483">
        <w:rPr>
          <w:rFonts w:ascii="Times New Roman" w:hAnsi="Times New Roman" w:cs="Times New Roman"/>
        </w:rPr>
        <w:t xml:space="preserve">lepingu täitmisel vastaval positsioonil pakkuja meeskonna liikmena. </w:t>
      </w:r>
    </w:p>
    <w:p w14:paraId="05F24E6A" w14:textId="77777777" w:rsidR="00BA3EEA" w:rsidRPr="00CC7483" w:rsidRDefault="00BA3EEA" w:rsidP="00BA3EEA">
      <w:pPr>
        <w:pStyle w:val="Loendilik"/>
        <w:rPr>
          <w:rFonts w:ascii="Times New Roman" w:hAnsi="Times New Roman" w:cs="Times New Roman"/>
        </w:rPr>
      </w:pPr>
    </w:p>
    <w:p w14:paraId="415CD83B" w14:textId="7803B41C" w:rsidR="00BA3EEA" w:rsidRPr="00CC7483" w:rsidRDefault="00BA3EEA" w:rsidP="00794907">
      <w:pPr>
        <w:pStyle w:val="Loendilik"/>
        <w:numPr>
          <w:ilvl w:val="1"/>
          <w:numId w:val="1"/>
        </w:numPr>
        <w:jc w:val="both"/>
        <w:rPr>
          <w:rFonts w:ascii="Times New Roman" w:hAnsi="Times New Roman" w:cs="Times New Roman"/>
        </w:rPr>
      </w:pPr>
      <w:r w:rsidRPr="00CC7483">
        <w:rPr>
          <w:rFonts w:ascii="Times New Roman" w:hAnsi="Times New Roman" w:cs="Times New Roman"/>
        </w:rPr>
        <w:t>Arvestades, et korteriühistute korterelamute renoveerimine on osaliselt finantseeritav Sihtasutuse KredEx poolt eraldatavatest avalikest vahenditest toetusena ning ülejäänud osa tuleb korteriühistul tagada omafinantseeringuna (üldjuhul laenuna), mille saamine võib sõltuda laenuandja hinnangust ehitusettevõtte võimekusele</w:t>
      </w:r>
      <w:r w:rsidR="00CC7483">
        <w:rPr>
          <w:rFonts w:ascii="Times New Roman" w:hAnsi="Times New Roman" w:cs="Times New Roman"/>
        </w:rPr>
        <w:t xml:space="preserve"> või muudest kaalutlustest, mida ei ole võimalik hankes ette näha</w:t>
      </w:r>
      <w:r w:rsidRPr="00CC7483">
        <w:rPr>
          <w:rFonts w:ascii="Times New Roman" w:hAnsi="Times New Roman" w:cs="Times New Roman"/>
        </w:rPr>
        <w:t xml:space="preserve">, on toetuse saajal õigus peale pakkumuse edukaks tunnistamist kõrvaldada vastav edukas pakkumus hankest ning võtta järjekorras järgmine edukas pakkuja ilma uut hanget korraldamata juhul, kui laenuandja ei nõustu algselt edukaks osutunud ehitusettevõtja projektis osalemisega seonduvalt omafinantseeringuks vajalikku laenu väljastama. Käesolevas punktis nimetatud juhul tuleb toetuse saajal teha vastav kirjalik otsus </w:t>
      </w:r>
      <w:r w:rsidR="00E60A6A" w:rsidRPr="00CC7483">
        <w:rPr>
          <w:rFonts w:ascii="Times New Roman" w:hAnsi="Times New Roman" w:cs="Times New Roman"/>
        </w:rPr>
        <w:t>esialgse edukaks tunnistamise otsuse muutmiseks</w:t>
      </w:r>
      <w:r w:rsidR="00F15D2D">
        <w:rPr>
          <w:rFonts w:ascii="Times New Roman" w:hAnsi="Times New Roman" w:cs="Times New Roman"/>
        </w:rPr>
        <w:t>, sealjuures märkida, mis kuupäeval on vastav asjaolu teatavaks saanud</w:t>
      </w:r>
      <w:r w:rsidR="005525AC">
        <w:rPr>
          <w:rFonts w:ascii="Times New Roman" w:hAnsi="Times New Roman" w:cs="Times New Roman"/>
        </w:rPr>
        <w:t xml:space="preserve"> otsuse muutmise vajaduse</w:t>
      </w:r>
      <w:r w:rsidR="00050961">
        <w:rPr>
          <w:rFonts w:ascii="Times New Roman" w:hAnsi="Times New Roman" w:cs="Times New Roman"/>
        </w:rPr>
        <w:t xml:space="preserve"> kohta </w:t>
      </w:r>
      <w:r w:rsidR="00E60A6A" w:rsidRPr="00CC7483">
        <w:rPr>
          <w:rFonts w:ascii="Times New Roman" w:hAnsi="Times New Roman" w:cs="Times New Roman"/>
        </w:rPr>
        <w:t xml:space="preserve">ning sellest kõiki hankes osalenud pakkujaid, keda hankes hinnati (st kes osutusid ühtlasi kvalifitseerituks ning tunnistati vastavaks) läbi elektroonilise riigihangete registri teabevahetuse </w:t>
      </w:r>
      <w:r w:rsidR="00CC7483">
        <w:rPr>
          <w:rFonts w:ascii="Times New Roman" w:hAnsi="Times New Roman" w:cs="Times New Roman"/>
        </w:rPr>
        <w:t xml:space="preserve">otsuse muutmisest </w:t>
      </w:r>
      <w:r w:rsidR="00E60A6A" w:rsidRPr="00CC7483">
        <w:rPr>
          <w:rFonts w:ascii="Times New Roman" w:hAnsi="Times New Roman" w:cs="Times New Roman"/>
        </w:rPr>
        <w:t>informeerida.</w:t>
      </w:r>
      <w:r w:rsidR="00F15D2D" w:rsidRPr="00F15D2D">
        <w:rPr>
          <w:rFonts w:ascii="Times New Roman" w:hAnsi="Times New Roman" w:cs="Times New Roman"/>
        </w:rPr>
        <w:t xml:space="preserve"> </w:t>
      </w:r>
      <w:r w:rsidR="005525AC">
        <w:rPr>
          <w:rFonts w:ascii="Times New Roman" w:hAnsi="Times New Roman" w:cs="Times New Roman"/>
        </w:rPr>
        <w:t>Otsuse muutmise otsuses ei tooda detailselt välja muid laenust keeldumise asjaolusid, vaid viidatakse asjaolule, et otsuse muutmise otsuse on tinginud projekti elluviimiseks vajaliku omafinantseeringu tagamise vajadus.</w:t>
      </w:r>
      <w:r w:rsidR="00F15D2D">
        <w:rPr>
          <w:rFonts w:ascii="Times New Roman" w:hAnsi="Times New Roman" w:cs="Times New Roman"/>
        </w:rPr>
        <w:t xml:space="preserve"> Toetuse saaja peab tagama, et vastavast laenuandja tagasisidest on olemas ka vähemalt kirjalikku </w:t>
      </w:r>
      <w:proofErr w:type="spellStart"/>
      <w:r w:rsidR="00F15D2D">
        <w:rPr>
          <w:rFonts w:ascii="Times New Roman" w:hAnsi="Times New Roman" w:cs="Times New Roman"/>
        </w:rPr>
        <w:t>taasesitamist</w:t>
      </w:r>
      <w:proofErr w:type="spellEnd"/>
      <w:r w:rsidR="00F15D2D">
        <w:rPr>
          <w:rFonts w:ascii="Times New Roman" w:hAnsi="Times New Roman" w:cs="Times New Roman"/>
        </w:rPr>
        <w:t xml:space="preserve"> või</w:t>
      </w:r>
      <w:r w:rsidR="006E76FA">
        <w:rPr>
          <w:rFonts w:ascii="Times New Roman" w:hAnsi="Times New Roman" w:cs="Times New Roman"/>
        </w:rPr>
        <w:t>maldavas vormis jälg, nt keeldumist tõendav</w:t>
      </w:r>
      <w:r w:rsidR="00F15D2D">
        <w:rPr>
          <w:rFonts w:ascii="Times New Roman" w:hAnsi="Times New Roman" w:cs="Times New Roman"/>
        </w:rPr>
        <w:t xml:space="preserve"> </w:t>
      </w:r>
      <w:proofErr w:type="spellStart"/>
      <w:r w:rsidR="00F15D2D">
        <w:rPr>
          <w:rFonts w:ascii="Times New Roman" w:hAnsi="Times New Roman" w:cs="Times New Roman"/>
        </w:rPr>
        <w:t>e</w:t>
      </w:r>
      <w:r w:rsidR="006E76FA">
        <w:rPr>
          <w:rFonts w:ascii="Times New Roman" w:hAnsi="Times New Roman" w:cs="Times New Roman"/>
        </w:rPr>
        <w:t>-</w:t>
      </w:r>
      <w:r w:rsidR="00F15D2D">
        <w:rPr>
          <w:rFonts w:ascii="Times New Roman" w:hAnsi="Times New Roman" w:cs="Times New Roman"/>
        </w:rPr>
        <w:t>kiri</w:t>
      </w:r>
      <w:proofErr w:type="spellEnd"/>
      <w:r w:rsidR="00F15D2D">
        <w:rPr>
          <w:rFonts w:ascii="Times New Roman" w:hAnsi="Times New Roman" w:cs="Times New Roman"/>
        </w:rPr>
        <w:t xml:space="preserve">, mille toetuse saaja peab olema valmis esitama ka </w:t>
      </w:r>
      <w:proofErr w:type="spellStart"/>
      <w:r w:rsidR="00F15D2D">
        <w:rPr>
          <w:rFonts w:ascii="Times New Roman" w:hAnsi="Times New Roman" w:cs="Times New Roman"/>
        </w:rPr>
        <w:t>KredExile</w:t>
      </w:r>
      <w:proofErr w:type="spellEnd"/>
      <w:r w:rsidR="00F15D2D">
        <w:rPr>
          <w:rFonts w:ascii="Times New Roman" w:hAnsi="Times New Roman" w:cs="Times New Roman"/>
        </w:rPr>
        <w:t xml:space="preserve"> </w:t>
      </w:r>
      <w:r w:rsidR="00A97234">
        <w:rPr>
          <w:rFonts w:ascii="Times New Roman" w:hAnsi="Times New Roman" w:cs="Times New Roman"/>
        </w:rPr>
        <w:t xml:space="preserve">(nt </w:t>
      </w:r>
      <w:r w:rsidR="00F15D2D">
        <w:rPr>
          <w:rFonts w:ascii="Times New Roman" w:hAnsi="Times New Roman" w:cs="Times New Roman"/>
        </w:rPr>
        <w:t xml:space="preserve">hiljemalt </w:t>
      </w:r>
      <w:proofErr w:type="spellStart"/>
      <w:r w:rsidR="00F15D2D">
        <w:rPr>
          <w:rFonts w:ascii="Times New Roman" w:hAnsi="Times New Roman" w:cs="Times New Roman"/>
        </w:rPr>
        <w:t>kõrvaltingimuste</w:t>
      </w:r>
      <w:proofErr w:type="spellEnd"/>
      <w:r w:rsidR="00F15D2D">
        <w:rPr>
          <w:rFonts w:ascii="Times New Roman" w:hAnsi="Times New Roman" w:cs="Times New Roman"/>
        </w:rPr>
        <w:t xml:space="preserve"> täitmise tõendamisel</w:t>
      </w:r>
      <w:r w:rsidR="00A97234">
        <w:rPr>
          <w:rFonts w:ascii="Times New Roman" w:hAnsi="Times New Roman" w:cs="Times New Roman"/>
        </w:rPr>
        <w:t>)</w:t>
      </w:r>
      <w:r w:rsidR="00F15D2D">
        <w:rPr>
          <w:rFonts w:ascii="Times New Roman" w:hAnsi="Times New Roman" w:cs="Times New Roman"/>
        </w:rPr>
        <w:t xml:space="preserve">. Ilma vähemalt kirjalikku </w:t>
      </w:r>
      <w:proofErr w:type="spellStart"/>
      <w:r w:rsidR="00F15D2D">
        <w:rPr>
          <w:rFonts w:ascii="Times New Roman" w:hAnsi="Times New Roman" w:cs="Times New Roman"/>
        </w:rPr>
        <w:t>taasesitamist</w:t>
      </w:r>
      <w:proofErr w:type="spellEnd"/>
      <w:r w:rsidR="00F15D2D">
        <w:rPr>
          <w:rFonts w:ascii="Times New Roman" w:hAnsi="Times New Roman" w:cs="Times New Roman"/>
        </w:rPr>
        <w:t xml:space="preserve"> võimaldavas vormis laenuandja tagasisideta kui tõendita laenu andmisest keeldumisest ei ole lubatav edukat pakkujat käesolevas punktis nimetatud asjaoludel muuta. </w:t>
      </w:r>
      <w:r w:rsidR="00F15D2D" w:rsidRPr="00CC7483">
        <w:rPr>
          <w:rFonts w:ascii="Times New Roman" w:hAnsi="Times New Roman" w:cs="Times New Roman"/>
        </w:rPr>
        <w:t xml:space="preserve"> </w:t>
      </w:r>
      <w:r w:rsidR="00E60A6A" w:rsidRPr="00CC7483">
        <w:rPr>
          <w:rFonts w:ascii="Times New Roman" w:hAnsi="Times New Roman" w:cs="Times New Roman"/>
        </w:rPr>
        <w:t xml:space="preserve"> </w:t>
      </w:r>
    </w:p>
    <w:p w14:paraId="2A958EA0" w14:textId="77777777" w:rsidR="00E60A6A" w:rsidRPr="00CC7483" w:rsidRDefault="00E60A6A" w:rsidP="00E60A6A">
      <w:pPr>
        <w:pStyle w:val="Loendilik"/>
        <w:rPr>
          <w:rFonts w:ascii="Times New Roman" w:hAnsi="Times New Roman" w:cs="Times New Roman"/>
        </w:rPr>
      </w:pPr>
    </w:p>
    <w:p w14:paraId="02677FA8" w14:textId="78286A2C" w:rsidR="00E60A6A" w:rsidRDefault="00E60A6A" w:rsidP="00794907">
      <w:pPr>
        <w:pStyle w:val="Loendilik"/>
        <w:numPr>
          <w:ilvl w:val="1"/>
          <w:numId w:val="1"/>
        </w:numPr>
        <w:jc w:val="both"/>
        <w:rPr>
          <w:rFonts w:ascii="Times New Roman" w:hAnsi="Times New Roman" w:cs="Times New Roman"/>
        </w:rPr>
      </w:pPr>
      <w:r w:rsidRPr="00CC7483">
        <w:rPr>
          <w:rFonts w:ascii="Times New Roman" w:hAnsi="Times New Roman" w:cs="Times New Roman"/>
        </w:rPr>
        <w:t xml:space="preserve">Toetuse saaja hangetes on lubatav esitada </w:t>
      </w:r>
      <w:proofErr w:type="spellStart"/>
      <w:r w:rsidRPr="00CC7483">
        <w:rPr>
          <w:rFonts w:ascii="Times New Roman" w:hAnsi="Times New Roman" w:cs="Times New Roman"/>
        </w:rPr>
        <w:t>ühispakkumust</w:t>
      </w:r>
      <w:proofErr w:type="spellEnd"/>
      <w:r w:rsidRPr="00CC7483">
        <w:rPr>
          <w:rFonts w:ascii="Times New Roman" w:hAnsi="Times New Roman" w:cs="Times New Roman"/>
        </w:rPr>
        <w:t xml:space="preserve">. Sellisel juhul vastutavad kõik </w:t>
      </w:r>
      <w:proofErr w:type="spellStart"/>
      <w:r w:rsidRPr="00CC7483">
        <w:rPr>
          <w:rFonts w:ascii="Times New Roman" w:hAnsi="Times New Roman" w:cs="Times New Roman"/>
        </w:rPr>
        <w:t>ühisp</w:t>
      </w:r>
      <w:r w:rsidR="003E769B">
        <w:rPr>
          <w:rFonts w:ascii="Times New Roman" w:hAnsi="Times New Roman" w:cs="Times New Roman"/>
        </w:rPr>
        <w:t>akkumuse</w:t>
      </w:r>
      <w:proofErr w:type="spellEnd"/>
      <w:r w:rsidR="003E769B">
        <w:rPr>
          <w:rFonts w:ascii="Times New Roman" w:hAnsi="Times New Roman" w:cs="Times New Roman"/>
        </w:rPr>
        <w:t xml:space="preserve"> esitanud pakkujad </w:t>
      </w:r>
      <w:r w:rsidRPr="00CC7483">
        <w:rPr>
          <w:rFonts w:ascii="Times New Roman" w:hAnsi="Times New Roman" w:cs="Times New Roman"/>
        </w:rPr>
        <w:t xml:space="preserve">lepingu täitmise eest </w:t>
      </w:r>
      <w:r w:rsidR="008D3D34">
        <w:rPr>
          <w:rFonts w:ascii="Times New Roman" w:hAnsi="Times New Roman" w:cs="Times New Roman"/>
        </w:rPr>
        <w:t xml:space="preserve">kogu </w:t>
      </w:r>
      <w:r w:rsidR="00AC6868">
        <w:rPr>
          <w:rFonts w:ascii="Times New Roman" w:hAnsi="Times New Roman" w:cs="Times New Roman"/>
        </w:rPr>
        <w:t xml:space="preserve">lepingu perioodi jooksul </w:t>
      </w:r>
      <w:r w:rsidRPr="00CC7483">
        <w:rPr>
          <w:rFonts w:ascii="Times New Roman" w:hAnsi="Times New Roman" w:cs="Times New Roman"/>
        </w:rPr>
        <w:t xml:space="preserve">solidaarselt. </w:t>
      </w:r>
    </w:p>
    <w:p w14:paraId="4EA8A9DD" w14:textId="77777777" w:rsidR="00864FC1" w:rsidRPr="00864FC1" w:rsidRDefault="00864FC1" w:rsidP="00864FC1">
      <w:pPr>
        <w:pStyle w:val="Loendilik"/>
        <w:rPr>
          <w:rFonts w:ascii="Times New Roman" w:hAnsi="Times New Roman" w:cs="Times New Roman"/>
        </w:rPr>
      </w:pPr>
    </w:p>
    <w:p w14:paraId="6187957E" w14:textId="72926E38" w:rsidR="00864FC1" w:rsidRPr="00CC7483" w:rsidRDefault="00864FC1" w:rsidP="00794907">
      <w:pPr>
        <w:pStyle w:val="Loendilik"/>
        <w:numPr>
          <w:ilvl w:val="1"/>
          <w:numId w:val="1"/>
        </w:numPr>
        <w:jc w:val="both"/>
        <w:rPr>
          <w:rFonts w:ascii="Times New Roman" w:hAnsi="Times New Roman" w:cs="Times New Roman"/>
        </w:rPr>
      </w:pPr>
      <w:r>
        <w:rPr>
          <w:rFonts w:ascii="Times New Roman" w:hAnsi="Times New Roman" w:cs="Times New Roman"/>
        </w:rPr>
        <w:t xml:space="preserve">Peale pakkumuste esitamise tähtaega on lubatav pidada läbirääkimisi üksnes hanke hinna osas ning kogu läbirääkimiste käigus teostatav tegevus peab olema üheselt tuvastatav elektroonilises riigihangete registris. Läbirääkimisi on võimalik pidada pakkumuste kohendamise  funktsiooni teel ning tuleb tagada, et pakkumust saavad samaaegselt kohendada kõik pakkujad, kes on kvalifitseerunud ja vastavaks tunnistatud ning kelle puhul ei esine kõrvaldamise aluseid. Pakkumuse kohandamiseks peab kõigil pakkujatel olema alati vähemalt 5 tööpäeva. </w:t>
      </w:r>
      <w:r>
        <w:rPr>
          <w:rFonts w:ascii="Times New Roman" w:hAnsi="Times New Roman" w:cs="Times New Roman"/>
        </w:rPr>
        <w:lastRenderedPageBreak/>
        <w:t xml:space="preserve">Pakkumuste kohandamine ning seega ka läbirääkimine on lubatav üksnes pakkumuse maksumuse osas, st juhul kui kõigile eelkirjeldatud pakkujatele antakse samaaegselt võimalus pakkumuse maksumust muuta ühesugustel tingimustel. Muud läbirääkimise vormid ei ole lubatavad. </w:t>
      </w:r>
      <w:r w:rsidR="00CB1E6D">
        <w:rPr>
          <w:rFonts w:ascii="Times New Roman" w:hAnsi="Times New Roman" w:cs="Times New Roman"/>
        </w:rPr>
        <w:t xml:space="preserve">Peale pakkumuse esitamise tähtpäeva ei ole lubatav pakkumust täiendada lisadokumentide või muu teabega. Juhul, kui pakkumuse maksumuses esineb ilmne arvutusviga, on </w:t>
      </w:r>
      <w:proofErr w:type="spellStart"/>
      <w:r w:rsidR="00CB1E6D">
        <w:rPr>
          <w:rFonts w:ascii="Times New Roman" w:hAnsi="Times New Roman" w:cs="Times New Roman"/>
        </w:rPr>
        <w:t>hankijal</w:t>
      </w:r>
      <w:proofErr w:type="spellEnd"/>
      <w:r w:rsidR="00CB1E6D">
        <w:rPr>
          <w:rFonts w:ascii="Times New Roman" w:hAnsi="Times New Roman" w:cs="Times New Roman"/>
        </w:rPr>
        <w:t xml:space="preserve"> õigus läbi elektroonilise riigihangete registri pakkujal lubada vastavat viga parandada. </w:t>
      </w:r>
    </w:p>
    <w:p w14:paraId="64733336" w14:textId="02C4B8E4" w:rsidR="001E4130" w:rsidRDefault="001E4130" w:rsidP="00593D60">
      <w:pPr>
        <w:pStyle w:val="Loendilik"/>
        <w:rPr>
          <w:rFonts w:ascii="Times New Roman" w:hAnsi="Times New Roman" w:cs="Times New Roman"/>
          <w:u w:val="single"/>
        </w:rPr>
      </w:pPr>
    </w:p>
    <w:p w14:paraId="4FF5C3F1" w14:textId="77777777" w:rsidR="006E76FA" w:rsidRDefault="006E76FA" w:rsidP="00593D60">
      <w:pPr>
        <w:pStyle w:val="Loendilik"/>
        <w:rPr>
          <w:rFonts w:ascii="Times New Roman" w:hAnsi="Times New Roman" w:cs="Times New Roman"/>
          <w:u w:val="single"/>
        </w:rPr>
      </w:pPr>
    </w:p>
    <w:p w14:paraId="4BAF9174" w14:textId="0EB2F5CC" w:rsidR="00E60A6A" w:rsidRPr="00E60A6A" w:rsidRDefault="00E60A6A" w:rsidP="00E60A6A">
      <w:pPr>
        <w:pStyle w:val="Loendilik"/>
        <w:numPr>
          <w:ilvl w:val="0"/>
          <w:numId w:val="1"/>
        </w:numPr>
        <w:jc w:val="center"/>
        <w:rPr>
          <w:rFonts w:ascii="Times New Roman" w:hAnsi="Times New Roman" w:cs="Times New Roman"/>
          <w:b/>
          <w:u w:val="single"/>
        </w:rPr>
      </w:pPr>
      <w:r w:rsidRPr="00E60A6A">
        <w:rPr>
          <w:rFonts w:ascii="Times New Roman" w:hAnsi="Times New Roman" w:cs="Times New Roman"/>
          <w:b/>
          <w:u w:val="single"/>
        </w:rPr>
        <w:t>Toetuse saajast korteriühistu hankes lubatavad kõrvaldamise alused, kvalifitseerimistingimused, vastavustingimused ning hindamiskriteeriumid</w:t>
      </w:r>
    </w:p>
    <w:p w14:paraId="798A0EF4" w14:textId="58B12E2C" w:rsidR="00593D60" w:rsidRPr="00CC7483" w:rsidRDefault="00593D60" w:rsidP="00CC7483">
      <w:pPr>
        <w:pStyle w:val="Loendilik"/>
        <w:jc w:val="both"/>
        <w:rPr>
          <w:rFonts w:ascii="Times New Roman" w:hAnsi="Times New Roman" w:cs="Times New Roman"/>
        </w:rPr>
      </w:pPr>
    </w:p>
    <w:p w14:paraId="20453AEF" w14:textId="033EC092" w:rsidR="00593D60" w:rsidRDefault="00E60A6A" w:rsidP="00CC7483">
      <w:pPr>
        <w:pStyle w:val="Loendilik"/>
        <w:numPr>
          <w:ilvl w:val="1"/>
          <w:numId w:val="1"/>
        </w:numPr>
        <w:jc w:val="both"/>
        <w:rPr>
          <w:rFonts w:ascii="Times New Roman" w:hAnsi="Times New Roman" w:cs="Times New Roman"/>
          <w:b/>
        </w:rPr>
      </w:pPr>
      <w:r w:rsidRPr="00CC7483">
        <w:rPr>
          <w:rFonts w:ascii="Times New Roman" w:hAnsi="Times New Roman" w:cs="Times New Roman"/>
          <w:b/>
        </w:rPr>
        <w:t xml:space="preserve">Kohustuslikud kõrvaldamise alused (sisestada elektroonilises riigihangete registris hanget </w:t>
      </w:r>
      <w:proofErr w:type="spellStart"/>
      <w:r w:rsidRPr="00CC7483">
        <w:rPr>
          <w:rFonts w:ascii="Times New Roman" w:hAnsi="Times New Roman" w:cs="Times New Roman"/>
          <w:b/>
        </w:rPr>
        <w:t>ettevalmistades</w:t>
      </w:r>
      <w:proofErr w:type="spellEnd"/>
      <w:r w:rsidRPr="00CC7483">
        <w:rPr>
          <w:rFonts w:ascii="Times New Roman" w:hAnsi="Times New Roman" w:cs="Times New Roman"/>
          <w:b/>
        </w:rPr>
        <w:t xml:space="preserve"> vastavasse kõrvaldamise aluste alajaotusesse punktide kaupa), muid kõrvaldamise aluseid ei kasutata: </w:t>
      </w:r>
    </w:p>
    <w:p w14:paraId="196E41C9" w14:textId="77777777" w:rsidR="00CC7483" w:rsidRPr="00CC7483" w:rsidRDefault="00CC7483" w:rsidP="00CC7483">
      <w:pPr>
        <w:pStyle w:val="Loendilik"/>
        <w:jc w:val="both"/>
        <w:rPr>
          <w:rFonts w:ascii="Times New Roman" w:hAnsi="Times New Roman" w:cs="Times New Roman"/>
          <w:b/>
        </w:rPr>
      </w:pPr>
    </w:p>
    <w:p w14:paraId="5B7CAF5B" w14:textId="3A2090FA" w:rsidR="00CC7483" w:rsidRDefault="00E60A6A" w:rsidP="007A2357">
      <w:pPr>
        <w:pStyle w:val="Loendilik"/>
        <w:jc w:val="both"/>
        <w:rPr>
          <w:rFonts w:ascii="Times New Roman" w:hAnsi="Times New Roman" w:cs="Times New Roman"/>
        </w:rPr>
      </w:pPr>
      <w:r w:rsidRPr="00CC7483">
        <w:rPr>
          <w:rFonts w:ascii="Times New Roman" w:hAnsi="Times New Roman" w:cs="Times New Roman"/>
        </w:rPr>
        <w:t>3.1.1. Toetuse saaja hankemenetlusest kõrvaldatakse vastava otsusega ning edasises hankemenetluses ei osale pakkuja, kes vastab vähemalt ühele alljärgnevatest tunnustest</w:t>
      </w:r>
      <w:r w:rsidR="00E529B5">
        <w:rPr>
          <w:rFonts w:ascii="Times New Roman" w:hAnsi="Times New Roman" w:cs="Times New Roman"/>
        </w:rPr>
        <w:t xml:space="preserve"> või on jätnud esitamata vähemalt ühe alljärgnevatest dokumentidest</w:t>
      </w:r>
      <w:r w:rsidRPr="00CC7483">
        <w:rPr>
          <w:rFonts w:ascii="Times New Roman" w:hAnsi="Times New Roman" w:cs="Times New Roman"/>
        </w:rPr>
        <w:t xml:space="preserve">: </w:t>
      </w:r>
    </w:p>
    <w:p w14:paraId="7DFD0DFF" w14:textId="77777777" w:rsidR="00050961" w:rsidRDefault="00E60A6A" w:rsidP="00050961">
      <w:pPr>
        <w:pStyle w:val="Loendilik"/>
        <w:jc w:val="both"/>
        <w:rPr>
          <w:rFonts w:ascii="Times New Roman" w:hAnsi="Times New Roman" w:cs="Times New Roman"/>
        </w:rPr>
      </w:pPr>
      <w:r w:rsidRPr="00CC7483">
        <w:rPr>
          <w:rFonts w:ascii="Times New Roman" w:hAnsi="Times New Roman" w:cs="Times New Roman"/>
        </w:rPr>
        <w:t>3.1.1.1. Pakkuja, kes on pankrotis või likvideerimisel</w:t>
      </w:r>
      <w:r w:rsidR="00F4581F">
        <w:rPr>
          <w:rFonts w:ascii="Times New Roman" w:hAnsi="Times New Roman" w:cs="Times New Roman"/>
        </w:rPr>
        <w:t>, kelle suhtes on algatatud pankroti- või likvideerimismenetlus, kelle äritegevus on peatatud või kes on muus sellesarnases olukorras</w:t>
      </w:r>
      <w:r w:rsidRPr="00CC7483">
        <w:rPr>
          <w:rFonts w:ascii="Times New Roman" w:hAnsi="Times New Roman" w:cs="Times New Roman"/>
        </w:rPr>
        <w:t xml:space="preserve"> tema asukohamaa</w:t>
      </w:r>
      <w:r w:rsidR="00F4581F">
        <w:rPr>
          <w:rFonts w:ascii="Times New Roman" w:hAnsi="Times New Roman" w:cs="Times New Roman"/>
        </w:rPr>
        <w:t xml:space="preserve"> õigusaktide </w:t>
      </w:r>
      <w:r w:rsidRPr="00CC7483">
        <w:rPr>
          <w:rFonts w:ascii="Times New Roman" w:hAnsi="Times New Roman" w:cs="Times New Roman"/>
        </w:rPr>
        <w:t xml:space="preserve">kohaselt; </w:t>
      </w:r>
    </w:p>
    <w:p w14:paraId="5A7A437C" w14:textId="3945487B" w:rsidR="00037883" w:rsidRPr="00050961" w:rsidRDefault="00E60A6A" w:rsidP="00050961">
      <w:pPr>
        <w:pStyle w:val="Loendilik"/>
        <w:jc w:val="both"/>
        <w:rPr>
          <w:rFonts w:ascii="Times New Roman" w:hAnsi="Times New Roman" w:cs="Times New Roman"/>
        </w:rPr>
      </w:pPr>
      <w:r w:rsidRPr="00CC7483">
        <w:rPr>
          <w:rFonts w:ascii="Times New Roman" w:hAnsi="Times New Roman" w:cs="Times New Roman"/>
        </w:rPr>
        <w:t>3.1.1.2. Pakkuja</w:t>
      </w:r>
      <w:r w:rsidR="007A2357" w:rsidRPr="00CC7483">
        <w:rPr>
          <w:rFonts w:ascii="Times New Roman" w:hAnsi="Times New Roman" w:cs="Times New Roman"/>
        </w:rPr>
        <w:t xml:space="preserve">, kellel on riikliku maksu, makse või keskkonnatasu maksuvõlg </w:t>
      </w:r>
      <w:r w:rsidR="007A2357" w:rsidRPr="00050961">
        <w:rPr>
          <w:rFonts w:ascii="Times New Roman" w:hAnsi="Times New Roman" w:cs="Times New Roman"/>
        </w:rPr>
        <w:t>maksukorralduse seaduse tähenduses või maksu- või sotsiaalkindlustusmaks</w:t>
      </w:r>
      <w:r w:rsidR="00E529B5" w:rsidRPr="00050961">
        <w:rPr>
          <w:rFonts w:ascii="Times New Roman" w:hAnsi="Times New Roman" w:cs="Times New Roman"/>
        </w:rPr>
        <w:t>ete võlg või kohaliku maksu võlg</w:t>
      </w:r>
      <w:r w:rsidR="007A2357" w:rsidRPr="00050961">
        <w:rPr>
          <w:rFonts w:ascii="Times New Roman" w:hAnsi="Times New Roman" w:cs="Times New Roman"/>
        </w:rPr>
        <w:t xml:space="preserve">. Pakkumusega koos tuleb esitada vastavad EMTA/KOV vm </w:t>
      </w:r>
      <w:proofErr w:type="spellStart"/>
      <w:r w:rsidR="007A2357" w:rsidRPr="00050961">
        <w:rPr>
          <w:rFonts w:ascii="Times New Roman" w:hAnsi="Times New Roman" w:cs="Times New Roman"/>
        </w:rPr>
        <w:t>digitemp</w:t>
      </w:r>
      <w:r w:rsidR="00CC7483" w:rsidRPr="00050961">
        <w:rPr>
          <w:rFonts w:ascii="Times New Roman" w:hAnsi="Times New Roman" w:cs="Times New Roman"/>
        </w:rPr>
        <w:t>liga</w:t>
      </w:r>
      <w:proofErr w:type="spellEnd"/>
      <w:r w:rsidR="00CC7483" w:rsidRPr="00050961">
        <w:rPr>
          <w:rFonts w:ascii="Times New Roman" w:hAnsi="Times New Roman" w:cs="Times New Roman"/>
        </w:rPr>
        <w:t xml:space="preserve"> tõendid. J</w:t>
      </w:r>
      <w:r w:rsidR="007A2357" w:rsidRPr="00050961">
        <w:rPr>
          <w:rFonts w:ascii="Times New Roman" w:hAnsi="Times New Roman" w:cs="Times New Roman"/>
        </w:rPr>
        <w:t xml:space="preserve">uhul kui esitatakse </w:t>
      </w:r>
      <w:proofErr w:type="spellStart"/>
      <w:r w:rsidR="007A2357" w:rsidRPr="00050961">
        <w:rPr>
          <w:rFonts w:ascii="Times New Roman" w:hAnsi="Times New Roman" w:cs="Times New Roman"/>
        </w:rPr>
        <w:t>ühispakkumus</w:t>
      </w:r>
      <w:proofErr w:type="spellEnd"/>
      <w:r w:rsidR="007A2357" w:rsidRPr="00050961">
        <w:rPr>
          <w:rFonts w:ascii="Times New Roman" w:hAnsi="Times New Roman" w:cs="Times New Roman"/>
        </w:rPr>
        <w:t>, tuleb vastava</w:t>
      </w:r>
      <w:r w:rsidR="00050961">
        <w:rPr>
          <w:rFonts w:ascii="Times New Roman" w:hAnsi="Times New Roman" w:cs="Times New Roman"/>
        </w:rPr>
        <w:t>d</w:t>
      </w:r>
      <w:r w:rsidR="007A2357" w:rsidRPr="00050961">
        <w:rPr>
          <w:rFonts w:ascii="Times New Roman" w:hAnsi="Times New Roman" w:cs="Times New Roman"/>
        </w:rPr>
        <w:t xml:space="preserve"> tõendid esitada iga </w:t>
      </w:r>
      <w:proofErr w:type="spellStart"/>
      <w:r w:rsidR="007A2357" w:rsidRPr="00050961">
        <w:rPr>
          <w:rFonts w:ascii="Times New Roman" w:hAnsi="Times New Roman" w:cs="Times New Roman"/>
        </w:rPr>
        <w:t>ühispakkuja</w:t>
      </w:r>
      <w:proofErr w:type="spellEnd"/>
      <w:r w:rsidR="007A2357" w:rsidRPr="00050961">
        <w:rPr>
          <w:rFonts w:ascii="Times New Roman" w:hAnsi="Times New Roman" w:cs="Times New Roman"/>
        </w:rPr>
        <w:t xml:space="preserve"> kohta. </w:t>
      </w:r>
      <w:r w:rsidR="00037883" w:rsidRPr="00050961">
        <w:rPr>
          <w:rFonts w:ascii="Times New Roman" w:hAnsi="Times New Roman" w:cs="Times New Roman"/>
          <w:bCs/>
          <w:color w:val="333333"/>
          <w:shd w:val="clear" w:color="auto" w:fill="FFFFFF"/>
        </w:rPr>
        <w:t>Isikut ei kõrvaldata hankest, kui ta on oma kohustused täitnud, st võla tasunud või maksuvõla ajatanud (sõltumata ajatamise pikkusest või ajatamise tagamisest). Kohustuste täitmise all mõeldakse üksnes võla tasumist või ajatamist.</w:t>
      </w:r>
    </w:p>
    <w:p w14:paraId="1516BA58" w14:textId="655B3207" w:rsidR="00D94DB3" w:rsidRDefault="00647481" w:rsidP="00F80893">
      <w:pPr>
        <w:pStyle w:val="Loendilik"/>
        <w:jc w:val="both"/>
        <w:rPr>
          <w:rFonts w:ascii="Times New Roman" w:eastAsia="Times New Roman" w:hAnsi="Times New Roman" w:cs="Times New Roman"/>
          <w:color w:val="202020"/>
          <w:lang w:eastAsia="et-EE"/>
        </w:rPr>
      </w:pPr>
      <w:r w:rsidRPr="00CC7483">
        <w:rPr>
          <w:rFonts w:ascii="Times New Roman" w:hAnsi="Times New Roman" w:cs="Times New Roman"/>
        </w:rPr>
        <w:t>3.1.1.3. P</w:t>
      </w:r>
      <w:r w:rsidR="00D94DB3" w:rsidRPr="00CC7483">
        <w:rPr>
          <w:rFonts w:ascii="Times New Roman" w:hAnsi="Times New Roman" w:cs="Times New Roman"/>
        </w:rPr>
        <w:t xml:space="preserve">akkuja kirjalik kinnitus, mis tuleb esitada koos pakkumusega, et </w:t>
      </w:r>
      <w:r w:rsidR="00CC7483">
        <w:rPr>
          <w:rFonts w:ascii="Times New Roman" w:hAnsi="Times New Roman" w:cs="Times New Roman"/>
        </w:rPr>
        <w:t>teda</w:t>
      </w:r>
      <w:r w:rsidR="00D94DB3" w:rsidRPr="00CC7483">
        <w:rPr>
          <w:rFonts w:ascii="Times New Roman" w:hAnsi="Times New Roman" w:cs="Times New Roman"/>
        </w:rPr>
        <w:t xml:space="preserve"> ega tema haldus-, juhtimis- või jä</w:t>
      </w:r>
      <w:r w:rsidR="00CC7483">
        <w:rPr>
          <w:rFonts w:ascii="Times New Roman" w:hAnsi="Times New Roman" w:cs="Times New Roman"/>
        </w:rPr>
        <w:t>relevalveorgani liiget või muud</w:t>
      </w:r>
      <w:r w:rsidR="00D94DB3" w:rsidRPr="00CC7483">
        <w:rPr>
          <w:rFonts w:ascii="Times New Roman" w:hAnsi="Times New Roman" w:cs="Times New Roman"/>
        </w:rPr>
        <w:t xml:space="preserve"> seaduslikku esindajat ei ole karistatud järgnevate kuritegude eest: </w:t>
      </w:r>
      <w:r w:rsidR="00D94DB3" w:rsidRPr="00D94DB3">
        <w:rPr>
          <w:rFonts w:ascii="Times New Roman" w:eastAsia="Times New Roman" w:hAnsi="Times New Roman" w:cs="Times New Roman"/>
          <w:color w:val="202020"/>
          <w:lang w:eastAsia="et-EE"/>
        </w:rPr>
        <w:t>kuritegelikus ühenduses osalemise, aususe kohustuse rikkumise või korruptiivse teo, kelmuse, terroriakti toimepaneku või muu terroristliku tegevusega seotud kuriteo või sellele kihutamise, kaasaaitamise või selle katse, rahapesualase süüteo või terrorismi rahastamis</w:t>
      </w:r>
      <w:r w:rsidR="00D94DB3" w:rsidRPr="00CC7483">
        <w:rPr>
          <w:rFonts w:ascii="Times New Roman" w:eastAsia="Times New Roman" w:hAnsi="Times New Roman" w:cs="Times New Roman"/>
          <w:color w:val="202020"/>
          <w:lang w:eastAsia="et-EE"/>
        </w:rPr>
        <w:t>e eest;</w:t>
      </w:r>
      <w:r w:rsidR="00CC7483">
        <w:rPr>
          <w:rFonts w:ascii="Times New Roman" w:eastAsia="Times New Roman" w:hAnsi="Times New Roman" w:cs="Times New Roman"/>
          <w:color w:val="202020"/>
          <w:lang w:eastAsia="et-EE"/>
        </w:rPr>
        <w:t xml:space="preserve"> </w:t>
      </w:r>
      <w:r w:rsidR="00D94DB3" w:rsidRPr="00D94DB3">
        <w:rPr>
          <w:rFonts w:ascii="Times New Roman" w:eastAsia="Times New Roman" w:hAnsi="Times New Roman" w:cs="Times New Roman"/>
          <w:color w:val="202020"/>
          <w:lang w:eastAsia="et-EE"/>
        </w:rPr>
        <w:t xml:space="preserve">riigis ilma seadusliku aluseta viibivale välismaalasele töötamise võimaldamise või välismaalase Eestis töötamise tingimuste rikkumise võimaldamise, sealhulgas seaduses sätestatud töötasu määrast </w:t>
      </w:r>
      <w:r w:rsidR="00D94DB3" w:rsidRPr="00CC7483">
        <w:rPr>
          <w:rFonts w:ascii="Times New Roman" w:eastAsia="Times New Roman" w:hAnsi="Times New Roman" w:cs="Times New Roman"/>
          <w:color w:val="202020"/>
          <w:lang w:eastAsia="et-EE"/>
        </w:rPr>
        <w:t xml:space="preserve">väiksema töötasu maksmise eest; </w:t>
      </w:r>
      <w:r w:rsidR="00D94DB3" w:rsidRPr="00D94DB3">
        <w:rPr>
          <w:rFonts w:ascii="Times New Roman" w:eastAsia="Times New Roman" w:hAnsi="Times New Roman" w:cs="Times New Roman"/>
          <w:color w:val="202020"/>
          <w:lang w:eastAsia="et-EE"/>
        </w:rPr>
        <w:t>laste tööjõu ebaseadusliku kasutamise või i</w:t>
      </w:r>
      <w:r w:rsidR="00D94DB3" w:rsidRPr="00CC7483">
        <w:rPr>
          <w:rFonts w:ascii="Times New Roman" w:eastAsia="Times New Roman" w:hAnsi="Times New Roman" w:cs="Times New Roman"/>
          <w:color w:val="202020"/>
          <w:lang w:eastAsia="et-EE"/>
        </w:rPr>
        <w:t xml:space="preserve">nimkaubandusega seotud teo eest. Juhul, kui pakkuja esitab </w:t>
      </w:r>
      <w:proofErr w:type="spellStart"/>
      <w:r w:rsidR="00D94DB3" w:rsidRPr="00CC7483">
        <w:rPr>
          <w:rFonts w:ascii="Times New Roman" w:eastAsia="Times New Roman" w:hAnsi="Times New Roman" w:cs="Times New Roman"/>
          <w:color w:val="202020"/>
          <w:lang w:eastAsia="et-EE"/>
        </w:rPr>
        <w:t>ühispakkumuse</w:t>
      </w:r>
      <w:proofErr w:type="spellEnd"/>
      <w:r w:rsidR="00D94DB3" w:rsidRPr="00CC7483">
        <w:rPr>
          <w:rFonts w:ascii="Times New Roman" w:eastAsia="Times New Roman" w:hAnsi="Times New Roman" w:cs="Times New Roman"/>
          <w:color w:val="202020"/>
          <w:lang w:eastAsia="et-EE"/>
        </w:rPr>
        <w:t xml:space="preserve">, tuleb vastav kirjalik kinnitus lisada iga </w:t>
      </w:r>
      <w:proofErr w:type="spellStart"/>
      <w:r w:rsidR="00D94DB3" w:rsidRPr="00CC7483">
        <w:rPr>
          <w:rFonts w:ascii="Times New Roman" w:eastAsia="Times New Roman" w:hAnsi="Times New Roman" w:cs="Times New Roman"/>
          <w:color w:val="202020"/>
          <w:lang w:eastAsia="et-EE"/>
        </w:rPr>
        <w:t>ühispakkuja</w:t>
      </w:r>
      <w:proofErr w:type="spellEnd"/>
      <w:r w:rsidR="00D94DB3" w:rsidRPr="00CC7483">
        <w:rPr>
          <w:rFonts w:ascii="Times New Roman" w:eastAsia="Times New Roman" w:hAnsi="Times New Roman" w:cs="Times New Roman"/>
          <w:color w:val="202020"/>
          <w:lang w:eastAsia="et-EE"/>
        </w:rPr>
        <w:t xml:space="preserve"> kohta ning kinnitus peab olema allkirjastatud </w:t>
      </w:r>
      <w:r w:rsidR="00E529B5">
        <w:rPr>
          <w:rFonts w:ascii="Times New Roman" w:eastAsia="Times New Roman" w:hAnsi="Times New Roman" w:cs="Times New Roman"/>
          <w:color w:val="202020"/>
          <w:lang w:eastAsia="et-EE"/>
        </w:rPr>
        <w:t xml:space="preserve">iga </w:t>
      </w:r>
      <w:proofErr w:type="spellStart"/>
      <w:r w:rsidR="00E529B5">
        <w:rPr>
          <w:rFonts w:ascii="Times New Roman" w:eastAsia="Times New Roman" w:hAnsi="Times New Roman" w:cs="Times New Roman"/>
          <w:color w:val="202020"/>
          <w:lang w:eastAsia="et-EE"/>
        </w:rPr>
        <w:t>ühispakkuja</w:t>
      </w:r>
      <w:proofErr w:type="spellEnd"/>
      <w:r w:rsidR="00E529B5">
        <w:rPr>
          <w:rFonts w:ascii="Times New Roman" w:eastAsia="Times New Roman" w:hAnsi="Times New Roman" w:cs="Times New Roman"/>
          <w:color w:val="202020"/>
          <w:lang w:eastAsia="et-EE"/>
        </w:rPr>
        <w:t xml:space="preserve"> esindaja poolt; </w:t>
      </w:r>
    </w:p>
    <w:p w14:paraId="67421D4E" w14:textId="71A74591" w:rsidR="00D94DB3" w:rsidRDefault="00E529B5" w:rsidP="00E529B5">
      <w:pPr>
        <w:pStyle w:val="Loendilik"/>
        <w:jc w:val="both"/>
        <w:rPr>
          <w:rFonts w:ascii="Times New Roman" w:hAnsi="Times New Roman" w:cs="Times New Roman"/>
          <w:iCs/>
          <w:color w:val="000000"/>
        </w:rPr>
      </w:pPr>
      <w:r w:rsidRPr="00E529B5">
        <w:rPr>
          <w:rFonts w:ascii="Times New Roman" w:hAnsi="Times New Roman" w:cs="Times New Roman"/>
        </w:rPr>
        <w:t xml:space="preserve">3.1.1.4. </w:t>
      </w:r>
      <w:r w:rsidRPr="00E529B5">
        <w:rPr>
          <w:rFonts w:ascii="Times New Roman" w:hAnsi="Times New Roman" w:cs="Times New Roman"/>
          <w:iCs/>
          <w:color w:val="000000"/>
        </w:rPr>
        <w:t xml:space="preserve">Pakkuja esitab koos pakkumusega Maksu- ja Tolliameti tõendid enda (sh kõigi </w:t>
      </w:r>
      <w:proofErr w:type="spellStart"/>
      <w:r w:rsidRPr="00E529B5">
        <w:rPr>
          <w:rFonts w:ascii="Times New Roman" w:hAnsi="Times New Roman" w:cs="Times New Roman"/>
          <w:iCs/>
          <w:color w:val="000000"/>
        </w:rPr>
        <w:t>ühispakkujate</w:t>
      </w:r>
      <w:proofErr w:type="spellEnd"/>
      <w:r w:rsidRPr="00E529B5">
        <w:rPr>
          <w:rFonts w:ascii="Times New Roman" w:hAnsi="Times New Roman" w:cs="Times New Roman"/>
          <w:iCs/>
          <w:color w:val="000000"/>
        </w:rPr>
        <w:t xml:space="preserve">) ning pakkumuses näidatud </w:t>
      </w:r>
      <w:proofErr w:type="spellStart"/>
      <w:r w:rsidRPr="00E529B5">
        <w:rPr>
          <w:rFonts w:ascii="Times New Roman" w:hAnsi="Times New Roman" w:cs="Times New Roman"/>
          <w:iCs/>
          <w:color w:val="000000"/>
        </w:rPr>
        <w:t>alltöövõtjate</w:t>
      </w:r>
      <w:proofErr w:type="spellEnd"/>
      <w:r w:rsidRPr="00E529B5">
        <w:rPr>
          <w:rFonts w:ascii="Times New Roman" w:hAnsi="Times New Roman" w:cs="Times New Roman"/>
          <w:iCs/>
          <w:color w:val="000000"/>
        </w:rPr>
        <w:t xml:space="preserve"> (sh isikute, kelle näitajatele</w:t>
      </w:r>
      <w:r>
        <w:rPr>
          <w:rFonts w:ascii="Times New Roman" w:hAnsi="Times New Roman" w:cs="Times New Roman"/>
          <w:iCs/>
          <w:color w:val="000000"/>
        </w:rPr>
        <w:t xml:space="preserve"> tuginetakse) kohta, mis tõendavad</w:t>
      </w:r>
      <w:r w:rsidRPr="00E529B5">
        <w:rPr>
          <w:rFonts w:ascii="Times New Roman" w:hAnsi="Times New Roman" w:cs="Times New Roman"/>
          <w:iCs/>
          <w:color w:val="000000"/>
        </w:rPr>
        <w:t>, et ühegi nimetatud isiku töötajate keskmine töötasu ei ole võrdlusperioodi jooksul olnud väiksem kui 70 protsenti sama ajavah</w:t>
      </w:r>
      <w:r w:rsidR="006E46D8">
        <w:rPr>
          <w:rFonts w:ascii="Times New Roman" w:hAnsi="Times New Roman" w:cs="Times New Roman"/>
          <w:iCs/>
          <w:color w:val="000000"/>
        </w:rPr>
        <w:t xml:space="preserve">emiku keskmisest töötasust </w:t>
      </w:r>
      <w:r w:rsidRPr="00E529B5">
        <w:rPr>
          <w:rFonts w:ascii="Times New Roman" w:hAnsi="Times New Roman" w:cs="Times New Roman"/>
          <w:iCs/>
          <w:color w:val="000000"/>
        </w:rPr>
        <w:t>lepingu esemele</w:t>
      </w:r>
      <w:r>
        <w:rPr>
          <w:rFonts w:ascii="Times New Roman" w:hAnsi="Times New Roman" w:cs="Times New Roman"/>
          <w:iCs/>
          <w:color w:val="000000"/>
        </w:rPr>
        <w:t xml:space="preserve"> (sh ehitusvaldkonnale)</w:t>
      </w:r>
      <w:r w:rsidRPr="00E529B5">
        <w:rPr>
          <w:rFonts w:ascii="Times New Roman" w:hAnsi="Times New Roman" w:cs="Times New Roman"/>
          <w:iCs/>
          <w:color w:val="000000"/>
        </w:rPr>
        <w:t xml:space="preserve"> vastavas valdkonnas. </w:t>
      </w:r>
    </w:p>
    <w:p w14:paraId="684F481C" w14:textId="290BDFCC" w:rsidR="00C971BF" w:rsidRDefault="00C971BF" w:rsidP="00E529B5">
      <w:pPr>
        <w:pStyle w:val="Loendilik"/>
        <w:jc w:val="both"/>
        <w:rPr>
          <w:rFonts w:ascii="Times New Roman" w:hAnsi="Times New Roman" w:cs="Times New Roman"/>
        </w:rPr>
      </w:pPr>
    </w:p>
    <w:p w14:paraId="1B1AE073" w14:textId="7780AAEB" w:rsidR="00C971BF" w:rsidRPr="00E334A8" w:rsidRDefault="00E334A8" w:rsidP="00E334A8">
      <w:pPr>
        <w:pStyle w:val="Loendilik"/>
        <w:jc w:val="both"/>
        <w:rPr>
          <w:rFonts w:ascii="Times New Roman" w:hAnsi="Times New Roman" w:cs="Times New Roman"/>
        </w:rPr>
      </w:pPr>
      <w:r w:rsidRPr="00E334A8">
        <w:rPr>
          <w:rFonts w:ascii="Times New Roman" w:hAnsi="Times New Roman" w:cs="Times New Roman"/>
          <w:b/>
        </w:rPr>
        <w:t>Selgitus</w:t>
      </w:r>
      <w:r w:rsidR="00A97234">
        <w:rPr>
          <w:rFonts w:ascii="Times New Roman" w:hAnsi="Times New Roman" w:cs="Times New Roman"/>
          <w:b/>
        </w:rPr>
        <w:t>ed</w:t>
      </w:r>
      <w:r w:rsidRPr="00E334A8">
        <w:rPr>
          <w:rFonts w:ascii="Times New Roman" w:hAnsi="Times New Roman" w:cs="Times New Roman"/>
          <w:b/>
        </w:rPr>
        <w:t xml:space="preserve"> toetuse saajale: </w:t>
      </w:r>
      <w:r>
        <w:rPr>
          <w:rFonts w:ascii="Times New Roman" w:hAnsi="Times New Roman" w:cs="Times New Roman"/>
        </w:rPr>
        <w:t>Punktis 3.1.1.1 toodud kõrvaldamise aluse puudumist tuleb toetuse saajal kontrollida Äriregistrist (</w:t>
      </w:r>
      <w:hyperlink r:id="rId9" w:history="1">
        <w:r w:rsidRPr="00E36B3D">
          <w:rPr>
            <w:rStyle w:val="Hperlink"/>
            <w:rFonts w:ascii="Times New Roman" w:hAnsi="Times New Roman" w:cs="Times New Roman"/>
          </w:rPr>
          <w:t>www.rik.ee</w:t>
        </w:r>
      </w:hyperlink>
      <w:r>
        <w:rPr>
          <w:rFonts w:ascii="Times New Roman" w:hAnsi="Times New Roman" w:cs="Times New Roman"/>
        </w:rPr>
        <w:t>) ja Ametlikest Teadaannetest (</w:t>
      </w:r>
      <w:hyperlink r:id="rId10" w:history="1">
        <w:r w:rsidRPr="00E36B3D">
          <w:rPr>
            <w:rStyle w:val="Hperlink"/>
            <w:rFonts w:ascii="Times New Roman" w:hAnsi="Times New Roman" w:cs="Times New Roman"/>
          </w:rPr>
          <w:t>www.ametlikudteadaanded.ee</w:t>
        </w:r>
      </w:hyperlink>
      <w:r>
        <w:rPr>
          <w:rFonts w:ascii="Times New Roman" w:hAnsi="Times New Roman" w:cs="Times New Roman"/>
        </w:rPr>
        <w:t xml:space="preserve">).  Juhul, kui punkti 3.1.1.4 alusel esitatud Maksu- ja Tolliameti tõendist selgub, et </w:t>
      </w:r>
      <w:proofErr w:type="spellStart"/>
      <w:r>
        <w:rPr>
          <w:rFonts w:ascii="Times New Roman" w:hAnsi="Times New Roman" w:cs="Times New Roman"/>
        </w:rPr>
        <w:t>alltöövõtjal</w:t>
      </w:r>
      <w:proofErr w:type="spellEnd"/>
      <w:r>
        <w:rPr>
          <w:rFonts w:ascii="Times New Roman" w:hAnsi="Times New Roman" w:cs="Times New Roman"/>
        </w:rPr>
        <w:t xml:space="preserve"> (või ka pakkuja</w:t>
      </w:r>
      <w:r w:rsidR="00A97234">
        <w:rPr>
          <w:rFonts w:ascii="Times New Roman" w:hAnsi="Times New Roman" w:cs="Times New Roman"/>
        </w:rPr>
        <w:t>(</w:t>
      </w:r>
      <w:r>
        <w:rPr>
          <w:rFonts w:ascii="Times New Roman" w:hAnsi="Times New Roman" w:cs="Times New Roman"/>
        </w:rPr>
        <w:t>tel</w:t>
      </w:r>
      <w:r w:rsidR="00A97234">
        <w:rPr>
          <w:rFonts w:ascii="Times New Roman" w:hAnsi="Times New Roman" w:cs="Times New Roman"/>
        </w:rPr>
        <w:t>)</w:t>
      </w:r>
      <w:r>
        <w:rPr>
          <w:rFonts w:ascii="Times New Roman" w:hAnsi="Times New Roman" w:cs="Times New Roman"/>
        </w:rPr>
        <w:t xml:space="preserve"> endil) ei ole vastav töötasu maksmise nõue täidetud,  ei ole lubatav peale pakkumuse esitamise tähtaega vastavat isikut, sh </w:t>
      </w:r>
      <w:proofErr w:type="spellStart"/>
      <w:r>
        <w:rPr>
          <w:rFonts w:ascii="Times New Roman" w:hAnsi="Times New Roman" w:cs="Times New Roman"/>
        </w:rPr>
        <w:t>alltöövõtjat</w:t>
      </w:r>
      <w:proofErr w:type="spellEnd"/>
      <w:r>
        <w:rPr>
          <w:rFonts w:ascii="Times New Roman" w:hAnsi="Times New Roman" w:cs="Times New Roman"/>
        </w:rPr>
        <w:t xml:space="preserve">, </w:t>
      </w:r>
      <w:r>
        <w:rPr>
          <w:rFonts w:ascii="Times New Roman" w:hAnsi="Times New Roman" w:cs="Times New Roman"/>
        </w:rPr>
        <w:lastRenderedPageBreak/>
        <w:t xml:space="preserve">enam vahetada. Kõnealuses punktis toodud nõudele mittevastavuse korral kuulub pakkumus edasisest menetlusest kõrvaldamisele. </w:t>
      </w:r>
    </w:p>
    <w:p w14:paraId="2235ADAA" w14:textId="3B7D1AFE" w:rsidR="00D94DB3" w:rsidRPr="00CE6C61" w:rsidRDefault="00CE6C61" w:rsidP="00CE6C61">
      <w:pPr>
        <w:jc w:val="both"/>
        <w:rPr>
          <w:rFonts w:ascii="Times New Roman" w:hAnsi="Times New Roman" w:cs="Times New Roman"/>
          <w:b/>
        </w:rPr>
      </w:pPr>
      <w:r w:rsidRPr="00CE6C61">
        <w:rPr>
          <w:rFonts w:ascii="Times New Roman" w:hAnsi="Times New Roman" w:cs="Times New Roman"/>
        </w:rPr>
        <w:t>3.2.</w:t>
      </w:r>
      <w:r w:rsidR="00D94DB3" w:rsidRPr="00CE6C61">
        <w:rPr>
          <w:rFonts w:ascii="Times New Roman" w:hAnsi="Times New Roman" w:cs="Times New Roman"/>
          <w:b/>
        </w:rPr>
        <w:t xml:space="preserve"> Kohu</w:t>
      </w:r>
      <w:r w:rsidR="00CC7483" w:rsidRPr="00CE6C61">
        <w:rPr>
          <w:rFonts w:ascii="Times New Roman" w:hAnsi="Times New Roman" w:cs="Times New Roman"/>
          <w:b/>
        </w:rPr>
        <w:t>s</w:t>
      </w:r>
      <w:r w:rsidR="00D94DB3" w:rsidRPr="00CE6C61">
        <w:rPr>
          <w:rFonts w:ascii="Times New Roman" w:hAnsi="Times New Roman" w:cs="Times New Roman"/>
          <w:b/>
        </w:rPr>
        <w:t xml:space="preserve">tuslikud kvalifitseerimistingimused (sisestada riigihangete registris hanget </w:t>
      </w:r>
      <w:proofErr w:type="spellStart"/>
      <w:r w:rsidR="00D94DB3" w:rsidRPr="00CE6C61">
        <w:rPr>
          <w:rFonts w:ascii="Times New Roman" w:hAnsi="Times New Roman" w:cs="Times New Roman"/>
          <w:b/>
        </w:rPr>
        <w:t>ettevalmistades</w:t>
      </w:r>
      <w:proofErr w:type="spellEnd"/>
      <w:r w:rsidR="00D94DB3" w:rsidRPr="00CE6C61">
        <w:rPr>
          <w:rFonts w:ascii="Times New Roman" w:hAnsi="Times New Roman" w:cs="Times New Roman"/>
          <w:b/>
        </w:rPr>
        <w:t xml:space="preserve"> vastavasse alajaotusesse. Kõiki punkti 3.2 alapunktides nimetatud tingimusi </w:t>
      </w:r>
      <w:r w:rsidR="00613FB9" w:rsidRPr="00CE6C61">
        <w:rPr>
          <w:rFonts w:ascii="Times New Roman" w:hAnsi="Times New Roman" w:cs="Times New Roman"/>
          <w:b/>
        </w:rPr>
        <w:t xml:space="preserve">(st punktides 3.2.1 kuni 3.2.4) </w:t>
      </w:r>
      <w:r w:rsidR="00D94DB3" w:rsidRPr="00CE6C61">
        <w:rPr>
          <w:rFonts w:ascii="Times New Roman" w:hAnsi="Times New Roman" w:cs="Times New Roman"/>
          <w:b/>
        </w:rPr>
        <w:t xml:space="preserve">tuleb toetuse </w:t>
      </w:r>
      <w:r w:rsidR="00613FB9" w:rsidRPr="00CE6C61">
        <w:rPr>
          <w:rFonts w:ascii="Times New Roman" w:hAnsi="Times New Roman" w:cs="Times New Roman"/>
          <w:b/>
        </w:rPr>
        <w:t>saaja hankes alati koos kasutada</w:t>
      </w:r>
      <w:r w:rsidR="00D94DB3" w:rsidRPr="00CE6C61">
        <w:rPr>
          <w:rFonts w:ascii="Times New Roman" w:hAnsi="Times New Roman" w:cs="Times New Roman"/>
          <w:b/>
        </w:rPr>
        <w:t>. Lisaks punktis 3.2 ja alapunktides toodud kohustuslikele kvalifitseerimistingimustele on toetuse saajal võimalik valida täiendavaid kvalifitseerimistingimusi punkti 3.3 alapunktides nimetatute hulgast. Muid kvalifitseerimistingimusi toetuse saaja hankes ei kasutata.</w:t>
      </w:r>
    </w:p>
    <w:p w14:paraId="7AF0F79C" w14:textId="5F595A85" w:rsidR="00CC7483" w:rsidRPr="00CC7483" w:rsidRDefault="00CC7483" w:rsidP="00CC7483">
      <w:pPr>
        <w:jc w:val="both"/>
        <w:rPr>
          <w:rFonts w:ascii="Times New Roman" w:hAnsi="Times New Roman" w:cs="Times New Roman"/>
          <w:b/>
          <w:u w:val="single"/>
        </w:rPr>
      </w:pPr>
      <w:r w:rsidRPr="00CC7483">
        <w:rPr>
          <w:rFonts w:ascii="Times New Roman" w:hAnsi="Times New Roman" w:cs="Times New Roman"/>
          <w:b/>
          <w:u w:val="single"/>
        </w:rPr>
        <w:t xml:space="preserve">Kohustuslikud kvalifitseerimistingimused: </w:t>
      </w:r>
    </w:p>
    <w:p w14:paraId="08A90E2F" w14:textId="3AE870B3" w:rsidR="00E12539" w:rsidRPr="00D94DB3" w:rsidRDefault="00D94DB3" w:rsidP="00D94DB3">
      <w:pPr>
        <w:rPr>
          <w:rFonts w:ascii="Times New Roman" w:hAnsi="Times New Roman" w:cs="Times New Roman"/>
          <w:u w:val="single"/>
        </w:rPr>
      </w:pPr>
      <w:r>
        <w:rPr>
          <w:rFonts w:ascii="Times New Roman" w:hAnsi="Times New Roman" w:cs="Times New Roman"/>
          <w:u w:val="single"/>
        </w:rPr>
        <w:t xml:space="preserve">3.2.1.  </w:t>
      </w:r>
      <w:r w:rsidR="00040B88" w:rsidRPr="00D94DB3">
        <w:rPr>
          <w:rFonts w:ascii="Times New Roman" w:hAnsi="Times New Roman" w:cs="Times New Roman"/>
        </w:rPr>
        <w:t>Pakkuja käive viimasel</w:t>
      </w:r>
      <w:r w:rsidR="00A86D1C" w:rsidRPr="00D94DB3">
        <w:rPr>
          <w:rFonts w:ascii="Times New Roman" w:hAnsi="Times New Roman" w:cs="Times New Roman"/>
        </w:rPr>
        <w:t xml:space="preserve"> ………</w:t>
      </w:r>
      <w:r w:rsidR="00040B88" w:rsidRPr="00D94DB3">
        <w:rPr>
          <w:rFonts w:ascii="Times New Roman" w:hAnsi="Times New Roman" w:cs="Times New Roman"/>
        </w:rPr>
        <w:t xml:space="preserve"> majandusaastal ehitustööde valdkonnas peab olema</w:t>
      </w:r>
      <w:r w:rsidR="00E12539" w:rsidRPr="00D94DB3">
        <w:rPr>
          <w:rFonts w:ascii="Times New Roman" w:hAnsi="Times New Roman" w:cs="Times New Roman"/>
        </w:rPr>
        <w:t xml:space="preserve"> igal aastal olnud</w:t>
      </w:r>
      <w:r w:rsidR="00040B88" w:rsidRPr="00D94DB3">
        <w:rPr>
          <w:rFonts w:ascii="Times New Roman" w:hAnsi="Times New Roman" w:cs="Times New Roman"/>
        </w:rPr>
        <w:t xml:space="preserve"> vähemalt x </w:t>
      </w:r>
      <w:r w:rsidR="00EE5D93" w:rsidRPr="00D94DB3">
        <w:rPr>
          <w:rFonts w:ascii="Times New Roman" w:hAnsi="Times New Roman" w:cs="Times New Roman"/>
        </w:rPr>
        <w:t>miljonit/tuhat</w:t>
      </w:r>
      <w:r w:rsidR="002833E2" w:rsidRPr="00D94DB3">
        <w:rPr>
          <w:rFonts w:ascii="Times New Roman" w:hAnsi="Times New Roman" w:cs="Times New Roman"/>
        </w:rPr>
        <w:t xml:space="preserve"> </w:t>
      </w:r>
      <w:r w:rsidR="00040B88" w:rsidRPr="00D94DB3">
        <w:rPr>
          <w:rFonts w:ascii="Times New Roman" w:hAnsi="Times New Roman" w:cs="Times New Roman"/>
        </w:rPr>
        <w:t xml:space="preserve">eurot  aastas. </w:t>
      </w:r>
    </w:p>
    <w:p w14:paraId="6916724B" w14:textId="4DAFA79F" w:rsidR="00133B82" w:rsidRDefault="00A86D1C" w:rsidP="00133B82">
      <w:pPr>
        <w:jc w:val="both"/>
        <w:rPr>
          <w:rFonts w:ascii="Times New Roman" w:hAnsi="Times New Roman" w:cs="Times New Roman"/>
          <w:color w:val="333333"/>
          <w:shd w:val="clear" w:color="auto" w:fill="F9F8F7"/>
        </w:rPr>
      </w:pPr>
      <w:r w:rsidRPr="00D94DB3">
        <w:rPr>
          <w:rFonts w:ascii="Times New Roman" w:hAnsi="Times New Roman" w:cs="Times New Roman"/>
          <w:b/>
          <w:color w:val="333333"/>
          <w:shd w:val="clear" w:color="auto" w:fill="F9F8F7"/>
        </w:rPr>
        <w:t>Selgitus</w:t>
      </w:r>
      <w:r w:rsidR="00735EBA">
        <w:rPr>
          <w:rFonts w:ascii="Times New Roman" w:hAnsi="Times New Roman" w:cs="Times New Roman"/>
          <w:b/>
          <w:color w:val="333333"/>
          <w:shd w:val="clear" w:color="auto" w:fill="F9F8F7"/>
        </w:rPr>
        <w:t xml:space="preserve"> toetuse saajale</w:t>
      </w:r>
      <w:r w:rsidR="00836615" w:rsidRPr="00D94DB3">
        <w:rPr>
          <w:rFonts w:ascii="Times New Roman" w:hAnsi="Times New Roman" w:cs="Times New Roman"/>
          <w:b/>
          <w:color w:val="333333"/>
          <w:shd w:val="clear" w:color="auto" w:fill="F9F8F7"/>
        </w:rPr>
        <w:t>:</w:t>
      </w:r>
      <w:r w:rsidR="00836615" w:rsidRPr="00D94DB3">
        <w:rPr>
          <w:rFonts w:ascii="Times New Roman" w:hAnsi="Times New Roman" w:cs="Times New Roman"/>
          <w:color w:val="333333"/>
          <w:shd w:val="clear" w:color="auto" w:fill="F9F8F7"/>
        </w:rPr>
        <w:t xml:space="preserve"> </w:t>
      </w:r>
      <w:r w:rsidRPr="00D94DB3">
        <w:rPr>
          <w:rFonts w:ascii="Times New Roman" w:hAnsi="Times New Roman" w:cs="Times New Roman"/>
          <w:color w:val="333333"/>
          <w:shd w:val="clear" w:color="auto" w:fill="F9F8F7"/>
        </w:rPr>
        <w:t>Pakkuja käivet võib küsida kuni kolme viimase majandusaasta kohta, st võib küsida ka ühe või kahe majandusaasta kohta</w:t>
      </w:r>
      <w:r w:rsidR="00D94DB3">
        <w:rPr>
          <w:rFonts w:ascii="Times New Roman" w:hAnsi="Times New Roman" w:cs="Times New Roman"/>
          <w:color w:val="333333"/>
          <w:shd w:val="clear" w:color="auto" w:fill="F9F8F7"/>
        </w:rPr>
        <w:t>, kuid käivet peab alati küsima</w:t>
      </w:r>
      <w:r w:rsidRPr="00D94DB3">
        <w:rPr>
          <w:rFonts w:ascii="Times New Roman" w:hAnsi="Times New Roman" w:cs="Times New Roman"/>
          <w:color w:val="333333"/>
          <w:shd w:val="clear" w:color="auto" w:fill="F9F8F7"/>
        </w:rPr>
        <w:t xml:space="preserve">. </w:t>
      </w:r>
      <w:r w:rsidR="00836615" w:rsidRPr="00D94DB3">
        <w:rPr>
          <w:rFonts w:ascii="Times New Roman" w:hAnsi="Times New Roman" w:cs="Times New Roman"/>
          <w:color w:val="333333"/>
          <w:shd w:val="clear" w:color="auto" w:fill="F9F8F7"/>
        </w:rPr>
        <w:t>Nõude seadmisel peab arvestama, et aastane käibenõue ei või olla suurem, kui sõlmitava lepingu kahekordne eeldatav maksumus. Pakkuja käivet on võimalik kontrollida Äriregistrist võttes välj</w:t>
      </w:r>
      <w:r w:rsidR="00024C1E" w:rsidRPr="00D94DB3">
        <w:rPr>
          <w:rFonts w:ascii="Times New Roman" w:hAnsi="Times New Roman" w:cs="Times New Roman"/>
          <w:color w:val="333333"/>
          <w:shd w:val="clear" w:color="auto" w:fill="F9F8F7"/>
        </w:rPr>
        <w:t>a vastava majandusaasta aruande.</w:t>
      </w:r>
      <w:r w:rsidR="00D94DB3">
        <w:rPr>
          <w:rFonts w:ascii="Times New Roman" w:hAnsi="Times New Roman" w:cs="Times New Roman"/>
          <w:color w:val="333333"/>
          <w:shd w:val="clear" w:color="auto" w:fill="F9F8F7"/>
        </w:rPr>
        <w:t xml:space="preserve"> Juhul, kui pakkuja majandusaasta aruanne ei ole Äriregistris kättesaadav, </w:t>
      </w:r>
      <w:r w:rsidR="00133B82">
        <w:rPr>
          <w:rFonts w:ascii="Times New Roman" w:hAnsi="Times New Roman" w:cs="Times New Roman"/>
          <w:color w:val="333333"/>
          <w:shd w:val="clear" w:color="auto" w:fill="F9F8F7"/>
        </w:rPr>
        <w:t>tuleb pakkujal tõendada oma käivet muus kirjalikus vormis, esitades</w:t>
      </w:r>
      <w:r w:rsidR="00CC7483">
        <w:rPr>
          <w:rFonts w:ascii="Times New Roman" w:hAnsi="Times New Roman" w:cs="Times New Roman"/>
          <w:color w:val="333333"/>
          <w:shd w:val="clear" w:color="auto" w:fill="F9F8F7"/>
        </w:rPr>
        <w:t xml:space="preserve"> ka</w:t>
      </w:r>
      <w:r w:rsidR="00133B82">
        <w:rPr>
          <w:rFonts w:ascii="Times New Roman" w:hAnsi="Times New Roman" w:cs="Times New Roman"/>
          <w:color w:val="333333"/>
          <w:shd w:val="clear" w:color="auto" w:fill="F9F8F7"/>
        </w:rPr>
        <w:t xml:space="preserve"> õigusaktidest tuleneva ja pakkujast sõltumatu põhjuse, millest tulenevalt ei ole majandusaasta aruanne Äriregistris avaldatud. </w:t>
      </w:r>
    </w:p>
    <w:p w14:paraId="5FEB4B79" w14:textId="0A9BFF29" w:rsidR="00CC7483" w:rsidRDefault="00133B82" w:rsidP="00133B82">
      <w:pPr>
        <w:jc w:val="both"/>
        <w:rPr>
          <w:rFonts w:ascii="Times New Roman" w:hAnsi="Times New Roman" w:cs="Times New Roman"/>
          <w:color w:val="333333"/>
          <w:shd w:val="clear" w:color="auto" w:fill="F9F8F7"/>
        </w:rPr>
      </w:pPr>
      <w:r w:rsidRPr="00A21994">
        <w:rPr>
          <w:rFonts w:ascii="Times New Roman" w:hAnsi="Times New Roman" w:cs="Times New Roman"/>
          <w:color w:val="333333"/>
          <w:u w:val="single"/>
          <w:shd w:val="clear" w:color="auto" w:fill="F9F8F7"/>
        </w:rPr>
        <w:t>3.2.2.</w:t>
      </w:r>
      <w:r>
        <w:rPr>
          <w:rFonts w:ascii="Times New Roman" w:hAnsi="Times New Roman" w:cs="Times New Roman"/>
          <w:color w:val="333333"/>
          <w:shd w:val="clear" w:color="auto" w:fill="F9F8F7"/>
        </w:rPr>
        <w:t xml:space="preserve"> </w:t>
      </w:r>
      <w:r w:rsidR="00E12539" w:rsidRPr="00133B82">
        <w:rPr>
          <w:rFonts w:ascii="Times New Roman" w:hAnsi="Times New Roman" w:cs="Times New Roman"/>
          <w:color w:val="333333"/>
          <w:shd w:val="clear" w:color="auto" w:fill="F9F8F7"/>
        </w:rPr>
        <w:t>Pakkuja</w:t>
      </w:r>
      <w:r w:rsidR="0080153E">
        <w:rPr>
          <w:rFonts w:ascii="Times New Roman" w:hAnsi="Times New Roman" w:cs="Times New Roman"/>
          <w:color w:val="333333"/>
          <w:shd w:val="clear" w:color="auto" w:fill="F9F8F7"/>
        </w:rPr>
        <w:t xml:space="preserve"> peab olema hanketeate elektroonilises</w:t>
      </w:r>
      <w:r w:rsidR="00E12539" w:rsidRPr="00133B82">
        <w:rPr>
          <w:rFonts w:ascii="Times New Roman" w:hAnsi="Times New Roman" w:cs="Times New Roman"/>
          <w:color w:val="333333"/>
          <w:shd w:val="clear" w:color="auto" w:fill="F9F8F7"/>
        </w:rPr>
        <w:t xml:space="preserve"> riigihangete registris avaldamise kuupäevale eelneva 60 kuu jooksul teostanud vähemalt </w:t>
      </w:r>
      <w:r w:rsidR="00050961">
        <w:rPr>
          <w:rFonts w:ascii="Times New Roman" w:hAnsi="Times New Roman" w:cs="Times New Roman"/>
          <w:color w:val="333333"/>
          <w:shd w:val="clear" w:color="auto" w:fill="F9F8F7"/>
        </w:rPr>
        <w:t>1</w:t>
      </w:r>
      <w:r>
        <w:rPr>
          <w:rFonts w:ascii="Times New Roman" w:hAnsi="Times New Roman" w:cs="Times New Roman"/>
          <w:color w:val="333333"/>
          <w:shd w:val="clear" w:color="auto" w:fill="F9F8F7"/>
        </w:rPr>
        <w:t xml:space="preserve"> </w:t>
      </w:r>
      <w:r w:rsidR="00050961">
        <w:rPr>
          <w:rFonts w:ascii="Times New Roman" w:hAnsi="Times New Roman" w:cs="Times New Roman"/>
          <w:color w:val="333333"/>
          <w:shd w:val="clear" w:color="auto" w:fill="F9F8F7"/>
        </w:rPr>
        <w:t xml:space="preserve">sarnase </w:t>
      </w:r>
      <w:r w:rsidR="00E12539" w:rsidRPr="00133B82">
        <w:rPr>
          <w:rFonts w:ascii="Times New Roman" w:hAnsi="Times New Roman" w:cs="Times New Roman"/>
          <w:color w:val="333333"/>
          <w:shd w:val="clear" w:color="auto" w:fill="F9F8F7"/>
        </w:rPr>
        <w:t xml:space="preserve"> </w:t>
      </w:r>
      <w:r w:rsidR="00050961">
        <w:rPr>
          <w:rFonts w:ascii="Times New Roman" w:hAnsi="Times New Roman" w:cs="Times New Roman"/>
          <w:color w:val="333333"/>
          <w:shd w:val="clear" w:color="auto" w:fill="F9F8F7"/>
        </w:rPr>
        <w:t>ehitustöö (nõuda võib kuni 3 sarnast ehitustööd käesolevas punktis nimetatud sarnasuse ulatuses)</w:t>
      </w:r>
      <w:r w:rsidR="00E12539" w:rsidRPr="00133B82">
        <w:rPr>
          <w:rFonts w:ascii="Times New Roman" w:hAnsi="Times New Roman" w:cs="Times New Roman"/>
          <w:color w:val="333333"/>
          <w:shd w:val="clear" w:color="auto" w:fill="F9F8F7"/>
        </w:rPr>
        <w:t xml:space="preserve"> igaühe</w:t>
      </w:r>
      <w:r w:rsidR="00024C1E" w:rsidRPr="00133B82">
        <w:rPr>
          <w:rFonts w:ascii="Times New Roman" w:hAnsi="Times New Roman" w:cs="Times New Roman"/>
          <w:color w:val="333333"/>
          <w:shd w:val="clear" w:color="auto" w:fill="F9F8F7"/>
        </w:rPr>
        <w:t xml:space="preserve"> ehitusmaksumusega vähemalt x</w:t>
      </w:r>
      <w:r w:rsidR="00E12539" w:rsidRPr="00133B82">
        <w:rPr>
          <w:rFonts w:ascii="Times New Roman" w:hAnsi="Times New Roman" w:cs="Times New Roman"/>
          <w:color w:val="333333"/>
          <w:shd w:val="clear" w:color="auto" w:fill="F9F8F7"/>
        </w:rPr>
        <w:t xml:space="preserve"> (eeldata</w:t>
      </w:r>
      <w:r w:rsidR="00A774F1">
        <w:rPr>
          <w:rFonts w:ascii="Times New Roman" w:hAnsi="Times New Roman" w:cs="Times New Roman"/>
          <w:color w:val="333333"/>
          <w:shd w:val="clear" w:color="auto" w:fill="F9F8F7"/>
        </w:rPr>
        <w:t>v hanke maksumus) eurot (ilma käibemaksuta</w:t>
      </w:r>
      <w:r w:rsidR="00E12539" w:rsidRPr="00133B82">
        <w:rPr>
          <w:rFonts w:ascii="Times New Roman" w:hAnsi="Times New Roman" w:cs="Times New Roman"/>
          <w:color w:val="333333"/>
          <w:shd w:val="clear" w:color="auto" w:fill="F9F8F7"/>
        </w:rPr>
        <w:t>).</w:t>
      </w:r>
      <w:r w:rsidR="00DE27AD" w:rsidRPr="00133B82">
        <w:rPr>
          <w:rFonts w:ascii="Times New Roman" w:hAnsi="Times New Roman" w:cs="Times New Roman"/>
          <w:color w:val="333333"/>
          <w:shd w:val="clear" w:color="auto" w:fill="F9F8F7"/>
        </w:rPr>
        <w:t xml:space="preserve"> </w:t>
      </w:r>
      <w:r w:rsidR="00E12539" w:rsidRPr="00133B82">
        <w:rPr>
          <w:rFonts w:ascii="Times New Roman" w:hAnsi="Times New Roman" w:cs="Times New Roman"/>
          <w:color w:val="333333"/>
          <w:shd w:val="clear" w:color="auto" w:fill="F9F8F7"/>
        </w:rPr>
        <w:t xml:space="preserve">Sarnaseks ehitustööks loetakse </w:t>
      </w:r>
      <w:r w:rsidR="002736F4">
        <w:rPr>
          <w:rFonts w:ascii="Times New Roman" w:hAnsi="Times New Roman" w:cs="Times New Roman"/>
          <w:color w:val="333333"/>
          <w:shd w:val="clear" w:color="auto" w:fill="F9F8F7"/>
        </w:rPr>
        <w:t xml:space="preserve">hanke objektiks oleva hoonega </w:t>
      </w:r>
      <w:r w:rsidR="002C48B9">
        <w:rPr>
          <w:rFonts w:ascii="Times New Roman" w:hAnsi="Times New Roman" w:cs="Times New Roman"/>
          <w:color w:val="333333"/>
          <w:shd w:val="clear" w:color="auto" w:fill="F9F8F7"/>
        </w:rPr>
        <w:t>võrdse</w:t>
      </w:r>
      <w:r w:rsidR="002736F4">
        <w:rPr>
          <w:rFonts w:ascii="Times New Roman" w:hAnsi="Times New Roman" w:cs="Times New Roman"/>
          <w:color w:val="333333"/>
          <w:shd w:val="clear" w:color="auto" w:fill="F9F8F7"/>
        </w:rPr>
        <w:t xml:space="preserve"> või suurema </w:t>
      </w:r>
      <w:r w:rsidR="002736F4" w:rsidRPr="002736F4">
        <w:rPr>
          <w:rFonts w:ascii="Times New Roman" w:hAnsi="Times New Roman" w:cs="Times New Roman"/>
          <w:color w:val="333333"/>
          <w:shd w:val="clear" w:color="auto" w:fill="F9F8F7"/>
        </w:rPr>
        <w:t xml:space="preserve">suletud netopinnaga </w:t>
      </w:r>
      <w:proofErr w:type="spellStart"/>
      <w:r w:rsidR="002C48B9">
        <w:rPr>
          <w:rFonts w:ascii="Times New Roman" w:hAnsi="Times New Roman" w:cs="Times New Roman"/>
          <w:color w:val="333333"/>
          <w:shd w:val="clear" w:color="auto" w:fill="F9F8F7"/>
        </w:rPr>
        <w:t>sisekliima</w:t>
      </w:r>
      <w:proofErr w:type="spellEnd"/>
      <w:r w:rsidR="002C48B9">
        <w:rPr>
          <w:rFonts w:ascii="Times New Roman" w:hAnsi="Times New Roman" w:cs="Times New Roman"/>
          <w:color w:val="333333"/>
          <w:shd w:val="clear" w:color="auto" w:fill="F9F8F7"/>
        </w:rPr>
        <w:t xml:space="preserve"> tagamisega </w:t>
      </w:r>
      <w:r w:rsidR="002736F4" w:rsidRPr="002736F4">
        <w:rPr>
          <w:rFonts w:ascii="Times New Roman" w:hAnsi="Times New Roman" w:cs="Times New Roman"/>
          <w:color w:val="333333"/>
          <w:shd w:val="clear" w:color="auto" w:fill="F9F8F7"/>
        </w:rPr>
        <w:t xml:space="preserve">hoone </w:t>
      </w:r>
      <w:r w:rsidR="002C48B9">
        <w:rPr>
          <w:rFonts w:ascii="Times New Roman" w:hAnsi="Times New Roman" w:cs="Times New Roman"/>
          <w:color w:val="333333"/>
          <w:shd w:val="clear" w:color="auto" w:fill="F9F8F7"/>
        </w:rPr>
        <w:t>(</w:t>
      </w:r>
      <w:proofErr w:type="spellStart"/>
      <w:r w:rsidR="002C48B9">
        <w:rPr>
          <w:rFonts w:ascii="Times New Roman" w:hAnsi="Times New Roman" w:cs="Times New Roman"/>
          <w:color w:val="333333"/>
          <w:shd w:val="clear" w:color="auto" w:fill="F9F8F7"/>
        </w:rPr>
        <w:t>korterelamu</w:t>
      </w:r>
      <w:proofErr w:type="spellEnd"/>
      <w:r w:rsidR="002C48B9">
        <w:rPr>
          <w:rFonts w:ascii="Times New Roman" w:hAnsi="Times New Roman" w:cs="Times New Roman"/>
          <w:color w:val="333333"/>
          <w:shd w:val="clear" w:color="auto" w:fill="F9F8F7"/>
        </w:rPr>
        <w:t xml:space="preserve">, büroo, kool, lasteaed jms) </w:t>
      </w:r>
      <w:r w:rsidR="002736F4" w:rsidRPr="002736F4">
        <w:rPr>
          <w:rFonts w:ascii="Times New Roman" w:hAnsi="Times New Roman" w:cs="Times New Roman"/>
          <w:color w:val="333333"/>
          <w:shd w:val="clear" w:color="auto" w:fill="F9F8F7"/>
        </w:rPr>
        <w:t xml:space="preserve">või hoonete kompleksi </w:t>
      </w:r>
      <w:r w:rsidR="00E12539" w:rsidRPr="00133B82">
        <w:rPr>
          <w:rFonts w:ascii="Times New Roman" w:hAnsi="Times New Roman" w:cs="Times New Roman"/>
          <w:color w:val="333333"/>
          <w:shd w:val="clear" w:color="auto" w:fill="F9F8F7"/>
        </w:rPr>
        <w:t>ehitustööde</w:t>
      </w:r>
      <w:r w:rsidR="002C48B9">
        <w:rPr>
          <w:rFonts w:ascii="Times New Roman" w:hAnsi="Times New Roman" w:cs="Times New Roman"/>
          <w:color w:val="333333"/>
          <w:shd w:val="clear" w:color="auto" w:fill="F9F8F7"/>
        </w:rPr>
        <w:t xml:space="preserve"> või rekonstrueerimistööde</w:t>
      </w:r>
      <w:r w:rsidR="00E12539" w:rsidRPr="00133B82">
        <w:rPr>
          <w:rFonts w:ascii="Times New Roman" w:hAnsi="Times New Roman" w:cs="Times New Roman"/>
          <w:color w:val="333333"/>
          <w:shd w:val="clear" w:color="auto" w:fill="F9F8F7"/>
        </w:rPr>
        <w:t xml:space="preserve"> </w:t>
      </w:r>
      <w:r w:rsidR="002C48B9">
        <w:rPr>
          <w:rFonts w:ascii="Times New Roman" w:hAnsi="Times New Roman" w:cs="Times New Roman"/>
          <w:color w:val="333333"/>
          <w:shd w:val="clear" w:color="auto" w:fill="F9F8F7"/>
        </w:rPr>
        <w:t xml:space="preserve">teostamist </w:t>
      </w:r>
      <w:r w:rsidR="00E12539" w:rsidRPr="00133B82">
        <w:rPr>
          <w:rFonts w:ascii="Times New Roman" w:hAnsi="Times New Roman" w:cs="Times New Roman"/>
          <w:color w:val="333333"/>
          <w:shd w:val="clear" w:color="auto" w:fill="F9F8F7"/>
        </w:rPr>
        <w:t xml:space="preserve">peatöövõtjana, mille puhul on teostatud </w:t>
      </w:r>
      <w:r w:rsidR="00816B3C">
        <w:rPr>
          <w:rFonts w:ascii="Times New Roman" w:hAnsi="Times New Roman" w:cs="Times New Roman"/>
          <w:color w:val="333333"/>
          <w:shd w:val="clear" w:color="auto" w:fill="F9F8F7"/>
        </w:rPr>
        <w:t xml:space="preserve">kogu hoone mahus </w:t>
      </w:r>
      <w:r w:rsidR="00E12539" w:rsidRPr="00133B82">
        <w:rPr>
          <w:rFonts w:ascii="Times New Roman" w:hAnsi="Times New Roman" w:cs="Times New Roman"/>
          <w:color w:val="333333"/>
          <w:shd w:val="clear" w:color="auto" w:fill="F9F8F7"/>
        </w:rPr>
        <w:t xml:space="preserve">mh vähemalt järgnevad ehitustööd: hoone kande- ja </w:t>
      </w:r>
      <w:proofErr w:type="spellStart"/>
      <w:r w:rsidR="00E12539" w:rsidRPr="00133B82">
        <w:rPr>
          <w:rFonts w:ascii="Times New Roman" w:hAnsi="Times New Roman" w:cs="Times New Roman"/>
          <w:color w:val="333333"/>
          <w:shd w:val="clear" w:color="auto" w:fill="F9F8F7"/>
        </w:rPr>
        <w:t>välispiirete</w:t>
      </w:r>
      <w:proofErr w:type="spellEnd"/>
      <w:r w:rsidR="00E12539" w:rsidRPr="00133B82">
        <w:rPr>
          <w:rFonts w:ascii="Times New Roman" w:hAnsi="Times New Roman" w:cs="Times New Roman"/>
          <w:color w:val="333333"/>
          <w:shd w:val="clear" w:color="auto" w:fill="F9F8F7"/>
        </w:rPr>
        <w:t xml:space="preserve"> ehitamine või rekonstrueerimine,</w:t>
      </w:r>
      <w:r w:rsidR="00816B3C">
        <w:rPr>
          <w:rFonts w:ascii="Times New Roman" w:hAnsi="Times New Roman" w:cs="Times New Roman"/>
          <w:color w:val="333333"/>
          <w:shd w:val="clear" w:color="auto" w:fill="F9F8F7"/>
        </w:rPr>
        <w:t xml:space="preserve"> avatäidete paigaldamine või rekonstrueerimine,</w:t>
      </w:r>
      <w:r w:rsidR="00E12539" w:rsidRPr="00133B82">
        <w:rPr>
          <w:rFonts w:ascii="Times New Roman" w:hAnsi="Times New Roman" w:cs="Times New Roman"/>
          <w:color w:val="333333"/>
          <w:shd w:val="clear" w:color="auto" w:fill="F9F8F7"/>
        </w:rPr>
        <w:t xml:space="preserve"> uue soojustagastusega sundventilatsiooni rajamine, küttesüsteemi rajamine</w:t>
      </w:r>
      <w:r w:rsidR="00484098">
        <w:rPr>
          <w:rFonts w:ascii="Times New Roman" w:hAnsi="Times New Roman" w:cs="Times New Roman"/>
          <w:color w:val="333333"/>
          <w:shd w:val="clear" w:color="auto" w:fill="F9F8F7"/>
        </w:rPr>
        <w:t xml:space="preserve"> või rekonstrueerimine</w:t>
      </w:r>
      <w:r w:rsidR="00E12539" w:rsidRPr="00133B82">
        <w:rPr>
          <w:rFonts w:ascii="Times New Roman" w:hAnsi="Times New Roman" w:cs="Times New Roman"/>
          <w:color w:val="333333"/>
          <w:shd w:val="clear" w:color="auto" w:fill="F9F8F7"/>
        </w:rPr>
        <w:t>.</w:t>
      </w:r>
      <w:r w:rsidR="00E12539" w:rsidRPr="00133B82">
        <w:rPr>
          <w:rFonts w:ascii="Times New Roman" w:hAnsi="Times New Roman" w:cs="Times New Roman"/>
          <w:color w:val="FF0000"/>
        </w:rPr>
        <w:t xml:space="preserve"> </w:t>
      </w:r>
    </w:p>
    <w:p w14:paraId="1E864C14" w14:textId="5CE002F9" w:rsidR="00CC7483" w:rsidRDefault="00A86D1C" w:rsidP="00133B82">
      <w:pPr>
        <w:jc w:val="both"/>
        <w:rPr>
          <w:rFonts w:ascii="Times New Roman" w:hAnsi="Times New Roman" w:cs="Times New Roman"/>
          <w:color w:val="333333"/>
          <w:shd w:val="clear" w:color="auto" w:fill="F9F8F7"/>
        </w:rPr>
      </w:pPr>
      <w:r w:rsidRPr="00133B82">
        <w:rPr>
          <w:rFonts w:ascii="Times New Roman" w:hAnsi="Times New Roman" w:cs="Times New Roman"/>
          <w:b/>
          <w:color w:val="333333"/>
          <w:shd w:val="clear" w:color="auto" w:fill="F9F8F7"/>
        </w:rPr>
        <w:t>Selgitus</w:t>
      </w:r>
      <w:r w:rsidR="00735EBA">
        <w:rPr>
          <w:rFonts w:ascii="Times New Roman" w:hAnsi="Times New Roman" w:cs="Times New Roman"/>
          <w:b/>
          <w:color w:val="333333"/>
          <w:shd w:val="clear" w:color="auto" w:fill="F9F8F7"/>
        </w:rPr>
        <w:t xml:space="preserve"> toetuse saajale</w:t>
      </w:r>
      <w:r w:rsidRPr="00133B82">
        <w:rPr>
          <w:rFonts w:ascii="Times New Roman" w:hAnsi="Times New Roman" w:cs="Times New Roman"/>
          <w:b/>
          <w:color w:val="333333"/>
          <w:shd w:val="clear" w:color="auto" w:fill="F9F8F7"/>
        </w:rPr>
        <w:t>:</w:t>
      </w:r>
      <w:r w:rsidRPr="00133B82">
        <w:rPr>
          <w:rFonts w:ascii="Times New Roman" w:hAnsi="Times New Roman" w:cs="Times New Roman"/>
          <w:color w:val="333333"/>
          <w:shd w:val="clear" w:color="auto" w:fill="F9F8F7"/>
        </w:rPr>
        <w:t xml:space="preserve"> </w:t>
      </w:r>
      <w:r w:rsidR="0037568D" w:rsidRPr="00133B82">
        <w:rPr>
          <w:rFonts w:ascii="Times New Roman" w:hAnsi="Times New Roman" w:cs="Times New Roman"/>
          <w:color w:val="333333"/>
          <w:shd w:val="clear" w:color="auto" w:fill="F9F8F7"/>
        </w:rPr>
        <w:t>Nõuda võib</w:t>
      </w:r>
      <w:r w:rsidR="00050961">
        <w:rPr>
          <w:rFonts w:ascii="Times New Roman" w:hAnsi="Times New Roman" w:cs="Times New Roman"/>
          <w:color w:val="333333"/>
          <w:shd w:val="clear" w:color="auto" w:fill="F9F8F7"/>
        </w:rPr>
        <w:t xml:space="preserve"> ühe ehitustöö</w:t>
      </w:r>
      <w:r w:rsidR="0037568D" w:rsidRPr="00133B82">
        <w:rPr>
          <w:rFonts w:ascii="Times New Roman" w:hAnsi="Times New Roman" w:cs="Times New Roman"/>
          <w:color w:val="333333"/>
          <w:shd w:val="clear" w:color="auto" w:fill="F9F8F7"/>
        </w:rPr>
        <w:t xml:space="preserve"> lepingu maksumust maksimaalselt selles määras, mis on </w:t>
      </w:r>
      <w:proofErr w:type="spellStart"/>
      <w:r w:rsidR="0037568D" w:rsidRPr="00133B82">
        <w:rPr>
          <w:rFonts w:ascii="Times New Roman" w:hAnsi="Times New Roman" w:cs="Times New Roman"/>
          <w:color w:val="333333"/>
          <w:shd w:val="clear" w:color="auto" w:fill="F9F8F7"/>
        </w:rPr>
        <w:t>hankija</w:t>
      </w:r>
      <w:proofErr w:type="spellEnd"/>
      <w:r w:rsidR="0037568D" w:rsidRPr="00133B82">
        <w:rPr>
          <w:rFonts w:ascii="Times New Roman" w:hAnsi="Times New Roman" w:cs="Times New Roman"/>
          <w:color w:val="333333"/>
          <w:shd w:val="clear" w:color="auto" w:fill="F9F8F7"/>
        </w:rPr>
        <w:t xml:space="preserve"> enda sõlmitava lepingu ühekordne eeldatav maksumus. </w:t>
      </w:r>
      <w:r w:rsidR="005123C3" w:rsidRPr="00133B82">
        <w:rPr>
          <w:rFonts w:ascii="Times New Roman" w:hAnsi="Times New Roman" w:cs="Times New Roman"/>
          <w:color w:val="333333"/>
          <w:shd w:val="clear" w:color="auto" w:fill="F9F8F7"/>
        </w:rPr>
        <w:t>Pakkuja</w:t>
      </w:r>
      <w:r w:rsidR="007455F5" w:rsidRPr="00133B82">
        <w:rPr>
          <w:rFonts w:ascii="Times New Roman" w:hAnsi="Times New Roman" w:cs="Times New Roman"/>
          <w:color w:val="333333"/>
          <w:shd w:val="clear" w:color="auto" w:fill="F9F8F7"/>
        </w:rPr>
        <w:t xml:space="preserve"> </w:t>
      </w:r>
      <w:r w:rsidR="0037568D" w:rsidRPr="00133B82">
        <w:rPr>
          <w:rFonts w:ascii="Times New Roman" w:hAnsi="Times New Roman" w:cs="Times New Roman"/>
          <w:color w:val="333333"/>
          <w:shd w:val="clear" w:color="auto" w:fill="F9F8F7"/>
        </w:rPr>
        <w:t>esitab</w:t>
      </w:r>
      <w:r w:rsidR="007455F5" w:rsidRPr="00133B82">
        <w:rPr>
          <w:rFonts w:ascii="Times New Roman" w:hAnsi="Times New Roman" w:cs="Times New Roman"/>
          <w:color w:val="333333"/>
          <w:shd w:val="clear" w:color="auto" w:fill="F9F8F7"/>
        </w:rPr>
        <w:t xml:space="preserve"> andmed </w:t>
      </w:r>
      <w:r w:rsidR="000B2327" w:rsidRPr="00133B82">
        <w:rPr>
          <w:rFonts w:ascii="Times New Roman" w:hAnsi="Times New Roman" w:cs="Times New Roman"/>
          <w:color w:val="333333"/>
          <w:shd w:val="clear" w:color="auto" w:fill="F9F8F7"/>
        </w:rPr>
        <w:t>60 viimase kuu jooksul tehtud ehitustööde lepingute kohta vormil</w:t>
      </w:r>
      <w:r w:rsidR="00910599">
        <w:rPr>
          <w:rFonts w:ascii="Times New Roman" w:hAnsi="Times New Roman" w:cs="Times New Roman"/>
          <w:color w:val="333333"/>
          <w:shd w:val="clear" w:color="auto" w:fill="F9F8F7"/>
        </w:rPr>
        <w:t xml:space="preserve"> (V</w:t>
      </w:r>
      <w:r w:rsidR="00024C1E" w:rsidRPr="00133B82">
        <w:rPr>
          <w:rFonts w:ascii="Times New Roman" w:hAnsi="Times New Roman" w:cs="Times New Roman"/>
          <w:color w:val="333333"/>
          <w:shd w:val="clear" w:color="auto" w:fill="F9F8F7"/>
        </w:rPr>
        <w:t>orm_ teave varasemate lepingute kohta)</w:t>
      </w:r>
      <w:r w:rsidR="000B2327" w:rsidRPr="00133B82">
        <w:rPr>
          <w:rFonts w:ascii="Times New Roman" w:hAnsi="Times New Roman" w:cs="Times New Roman"/>
          <w:color w:val="333333"/>
          <w:shd w:val="clear" w:color="auto" w:fill="F9F8F7"/>
        </w:rPr>
        <w:t xml:space="preserve">. </w:t>
      </w:r>
    </w:p>
    <w:p w14:paraId="7257B4A4" w14:textId="77777777" w:rsidR="007926DA" w:rsidRDefault="00133B82" w:rsidP="00B50671">
      <w:pPr>
        <w:jc w:val="both"/>
        <w:rPr>
          <w:rFonts w:ascii="Times New Roman" w:hAnsi="Times New Roman" w:cs="Times New Roman"/>
        </w:rPr>
      </w:pPr>
      <w:r>
        <w:rPr>
          <w:rFonts w:ascii="Times New Roman" w:hAnsi="Times New Roman" w:cs="Times New Roman"/>
        </w:rPr>
        <w:t xml:space="preserve">3.2.3. </w:t>
      </w:r>
      <w:r w:rsidR="00F4307F" w:rsidRPr="00133B82">
        <w:rPr>
          <w:rFonts w:ascii="Times New Roman" w:hAnsi="Times New Roman" w:cs="Times New Roman"/>
        </w:rPr>
        <w:t>Pakkuja meeskonnas</w:t>
      </w:r>
      <w:r w:rsidR="00040B88" w:rsidRPr="00133B82">
        <w:rPr>
          <w:rFonts w:ascii="Times New Roman" w:hAnsi="Times New Roman" w:cs="Times New Roman"/>
        </w:rPr>
        <w:t xml:space="preserve"> peavad hanke objektiks oleva rekonstrueerimise elluviimiseks olema järgnevad pädevust omavad isikud</w:t>
      </w:r>
      <w:r w:rsidR="00BA555C" w:rsidRPr="00CC7483">
        <w:rPr>
          <w:rFonts w:ascii="Times New Roman" w:hAnsi="Times New Roman" w:cs="Times New Roman"/>
        </w:rPr>
        <w:t>, kes hiljem ka tööde teostamist faktiliselt juhivad</w:t>
      </w:r>
      <w:r w:rsidR="00040B88" w:rsidRPr="00CC7483">
        <w:rPr>
          <w:rFonts w:ascii="Times New Roman" w:hAnsi="Times New Roman" w:cs="Times New Roman"/>
        </w:rPr>
        <w:t xml:space="preserve">: </w:t>
      </w:r>
    </w:p>
    <w:p w14:paraId="104E81DF" w14:textId="65A2546A" w:rsidR="007926DA" w:rsidRPr="00110C8E" w:rsidRDefault="00040B88" w:rsidP="00110C8E">
      <w:pPr>
        <w:pStyle w:val="Loendilik"/>
        <w:numPr>
          <w:ilvl w:val="0"/>
          <w:numId w:val="18"/>
        </w:numPr>
        <w:jc w:val="both"/>
        <w:rPr>
          <w:rFonts w:ascii="Times New Roman" w:hAnsi="Times New Roman" w:cs="Times New Roman"/>
        </w:rPr>
      </w:pPr>
      <w:r w:rsidRPr="00110C8E">
        <w:rPr>
          <w:rFonts w:ascii="Times New Roman" w:hAnsi="Times New Roman" w:cs="Times New Roman"/>
          <w:color w:val="333333"/>
        </w:rPr>
        <w:t xml:space="preserve">Projektijuht, kellel on vähemalt kutsekvalifikatsioon - ehitusinsener, tase </w:t>
      </w:r>
      <w:r w:rsidR="00D044AA" w:rsidRPr="00110C8E">
        <w:rPr>
          <w:rFonts w:ascii="Times New Roman" w:hAnsi="Times New Roman" w:cs="Times New Roman"/>
          <w:color w:val="333333"/>
        </w:rPr>
        <w:t xml:space="preserve">6 </w:t>
      </w:r>
      <w:proofErr w:type="spellStart"/>
      <w:r w:rsidR="005C038B" w:rsidRPr="00110C8E">
        <w:rPr>
          <w:rFonts w:ascii="Times New Roman" w:hAnsi="Times New Roman" w:cs="Times New Roman"/>
          <w:color w:val="333333"/>
        </w:rPr>
        <w:t>allerialaga</w:t>
      </w:r>
      <w:proofErr w:type="spellEnd"/>
      <w:r w:rsidR="005C038B" w:rsidRPr="00110C8E">
        <w:rPr>
          <w:rFonts w:ascii="Times New Roman" w:hAnsi="Times New Roman" w:cs="Times New Roman"/>
          <w:color w:val="333333"/>
        </w:rPr>
        <w:t xml:space="preserve"> hoonete ehitus ja spetsialiseerumisega ehitustegevuse juhtimine</w:t>
      </w:r>
      <w:r w:rsidR="00752EDE" w:rsidRPr="00110C8E">
        <w:rPr>
          <w:rFonts w:ascii="Times New Roman" w:hAnsi="Times New Roman" w:cs="Times New Roman"/>
          <w:color w:val="333333"/>
        </w:rPr>
        <w:t xml:space="preserve"> või ehitusjuht, tase 6, sp</w:t>
      </w:r>
      <w:r w:rsidR="0084345B">
        <w:rPr>
          <w:rFonts w:ascii="Times New Roman" w:hAnsi="Times New Roman" w:cs="Times New Roman"/>
          <w:color w:val="333333"/>
        </w:rPr>
        <w:t>etsialiseerumisega üldehituslik</w:t>
      </w:r>
      <w:r w:rsidR="00752EDE" w:rsidRPr="00110C8E">
        <w:rPr>
          <w:rFonts w:ascii="Times New Roman" w:hAnsi="Times New Roman" w:cs="Times New Roman"/>
          <w:color w:val="333333"/>
        </w:rPr>
        <w:t xml:space="preserve"> ehitamine </w:t>
      </w:r>
      <w:r w:rsidR="00E71922" w:rsidRPr="00110C8E">
        <w:rPr>
          <w:rFonts w:ascii="Times New Roman" w:hAnsi="Times New Roman" w:cs="Times New Roman"/>
          <w:color w:val="333333"/>
        </w:rPr>
        <w:t xml:space="preserve"> (</w:t>
      </w:r>
      <w:r w:rsidR="0037568D" w:rsidRPr="00110C8E">
        <w:rPr>
          <w:rFonts w:ascii="Times New Roman" w:hAnsi="Times New Roman" w:cs="Times New Roman"/>
          <w:color w:val="333333"/>
        </w:rPr>
        <w:t xml:space="preserve">NB! Juhul, </w:t>
      </w:r>
      <w:r w:rsidR="00E71922" w:rsidRPr="00110C8E">
        <w:rPr>
          <w:rFonts w:ascii="Times New Roman" w:hAnsi="Times New Roman" w:cs="Times New Roman"/>
          <w:color w:val="333333"/>
        </w:rPr>
        <w:t xml:space="preserve">kui hoone on </w:t>
      </w:r>
      <w:r w:rsidR="006371A5" w:rsidRPr="00110C8E">
        <w:rPr>
          <w:rFonts w:ascii="Times New Roman" w:hAnsi="Times New Roman" w:cs="Times New Roman"/>
          <w:color w:val="333333"/>
        </w:rPr>
        <w:t>kõrgem kui 45 m on vastavalt kutsestandardile vajalik pädevus diplomeeritud ehitusinsener, tase 7)</w:t>
      </w:r>
      <w:r w:rsidRPr="00110C8E">
        <w:rPr>
          <w:rFonts w:ascii="Times New Roman" w:hAnsi="Times New Roman" w:cs="Times New Roman"/>
          <w:color w:val="333333"/>
        </w:rPr>
        <w:t xml:space="preserve">; </w:t>
      </w:r>
    </w:p>
    <w:p w14:paraId="56E108D0" w14:textId="64D1ADA5" w:rsidR="007926DA" w:rsidRPr="00110C8E" w:rsidRDefault="00040B88" w:rsidP="00110C8E">
      <w:pPr>
        <w:pStyle w:val="Loendilik"/>
        <w:numPr>
          <w:ilvl w:val="0"/>
          <w:numId w:val="18"/>
        </w:numPr>
        <w:jc w:val="both"/>
        <w:rPr>
          <w:rFonts w:ascii="Times New Roman" w:hAnsi="Times New Roman" w:cs="Times New Roman"/>
        </w:rPr>
      </w:pPr>
      <w:r w:rsidRPr="00110C8E">
        <w:rPr>
          <w:rFonts w:ascii="Times New Roman" w:hAnsi="Times New Roman" w:cs="Times New Roman"/>
          <w:color w:val="333333"/>
        </w:rPr>
        <w:t>Objektijuht, kellel on</w:t>
      </w:r>
      <w:r w:rsidR="00A97234">
        <w:rPr>
          <w:rFonts w:ascii="Times New Roman" w:hAnsi="Times New Roman" w:cs="Times New Roman"/>
          <w:color w:val="333333"/>
        </w:rPr>
        <w:t xml:space="preserve"> vähemalt kutsekvalifikatsioon</w:t>
      </w:r>
      <w:r w:rsidRPr="00110C8E">
        <w:rPr>
          <w:rFonts w:ascii="Times New Roman" w:hAnsi="Times New Roman" w:cs="Times New Roman"/>
          <w:color w:val="333333"/>
        </w:rPr>
        <w:t xml:space="preserve">: </w:t>
      </w:r>
      <w:r w:rsidR="00752EDE" w:rsidRPr="00110C8E">
        <w:rPr>
          <w:rFonts w:ascii="Times New Roman" w:hAnsi="Times New Roman" w:cs="Times New Roman"/>
          <w:color w:val="333333"/>
        </w:rPr>
        <w:t xml:space="preserve">ehitusinsener, tase 6 </w:t>
      </w:r>
      <w:proofErr w:type="spellStart"/>
      <w:r w:rsidR="00752EDE" w:rsidRPr="00110C8E">
        <w:rPr>
          <w:rFonts w:ascii="Times New Roman" w:hAnsi="Times New Roman" w:cs="Times New Roman"/>
          <w:color w:val="333333"/>
        </w:rPr>
        <w:t>allerialaga</w:t>
      </w:r>
      <w:proofErr w:type="spellEnd"/>
      <w:r w:rsidR="00752EDE" w:rsidRPr="00110C8E">
        <w:rPr>
          <w:rFonts w:ascii="Times New Roman" w:hAnsi="Times New Roman" w:cs="Times New Roman"/>
          <w:color w:val="333333"/>
        </w:rPr>
        <w:t xml:space="preserve"> hoonete ehitus ja spetsialiseerumisega ehitustegevuse juhtimine või ehitusjuht, tase 6, sp</w:t>
      </w:r>
      <w:r w:rsidR="00CC7483" w:rsidRPr="00110C8E">
        <w:rPr>
          <w:rFonts w:ascii="Times New Roman" w:hAnsi="Times New Roman" w:cs="Times New Roman"/>
          <w:color w:val="333333"/>
        </w:rPr>
        <w:t>etsialiseerumisega üldehituslik ehitamine</w:t>
      </w:r>
      <w:r w:rsidRPr="00110C8E">
        <w:rPr>
          <w:rFonts w:ascii="Times New Roman" w:hAnsi="Times New Roman" w:cs="Times New Roman"/>
          <w:color w:val="333333"/>
        </w:rPr>
        <w:t xml:space="preserve">; </w:t>
      </w:r>
    </w:p>
    <w:p w14:paraId="267F8FF5" w14:textId="63B8FCA0" w:rsidR="007926DA" w:rsidRPr="000B46C1" w:rsidRDefault="00040B88" w:rsidP="00110C8E">
      <w:pPr>
        <w:pStyle w:val="Loendilik"/>
        <w:numPr>
          <w:ilvl w:val="0"/>
          <w:numId w:val="18"/>
        </w:numPr>
        <w:jc w:val="both"/>
        <w:rPr>
          <w:rFonts w:ascii="Times New Roman" w:hAnsi="Times New Roman" w:cs="Times New Roman"/>
        </w:rPr>
      </w:pPr>
      <w:r w:rsidRPr="00110C8E">
        <w:rPr>
          <w:rFonts w:ascii="Times New Roman" w:hAnsi="Times New Roman" w:cs="Times New Roman"/>
          <w:color w:val="333333"/>
        </w:rPr>
        <w:t>Ventilatsiooni</w:t>
      </w:r>
      <w:r w:rsidR="00EF0123" w:rsidRPr="00110C8E">
        <w:rPr>
          <w:rFonts w:ascii="Times New Roman" w:hAnsi="Times New Roman" w:cs="Times New Roman"/>
          <w:color w:val="333333"/>
        </w:rPr>
        <w:t>- ja küttesüsteemide</w:t>
      </w:r>
      <w:r w:rsidRPr="00110C8E">
        <w:rPr>
          <w:rFonts w:ascii="Times New Roman" w:hAnsi="Times New Roman" w:cs="Times New Roman"/>
          <w:color w:val="333333"/>
        </w:rPr>
        <w:t xml:space="preserve"> spetsialist, kellel on vähemalt kutsekvalifikatsioon -</w:t>
      </w:r>
      <w:r w:rsidR="005C038B" w:rsidRPr="00110C8E">
        <w:rPr>
          <w:rFonts w:ascii="Times New Roman" w:hAnsi="Times New Roman" w:cs="Times New Roman"/>
          <w:color w:val="333333"/>
        </w:rPr>
        <w:t xml:space="preserve"> kütte-, ventilatsiooni- ja jahutuseinsener, tase </w:t>
      </w:r>
      <w:r w:rsidR="00D044AA" w:rsidRPr="00110C8E">
        <w:rPr>
          <w:rFonts w:ascii="Times New Roman" w:hAnsi="Times New Roman" w:cs="Times New Roman"/>
          <w:color w:val="333333"/>
        </w:rPr>
        <w:t xml:space="preserve">6 </w:t>
      </w:r>
      <w:r w:rsidR="005C038B" w:rsidRPr="00110C8E">
        <w:rPr>
          <w:rFonts w:ascii="Times New Roman" w:hAnsi="Times New Roman" w:cs="Times New Roman"/>
          <w:color w:val="333333"/>
        </w:rPr>
        <w:t>ametialadega ehitustegevuse juhtimine küttesesüsteemide ehitamisel ja ehitustegevuse juhtimine ventilatsioonisüsteemide ehitamisel</w:t>
      </w:r>
      <w:r w:rsidR="00752EDE" w:rsidRPr="00110C8E">
        <w:rPr>
          <w:rFonts w:ascii="Times New Roman" w:hAnsi="Times New Roman" w:cs="Times New Roman"/>
          <w:color w:val="333333"/>
        </w:rPr>
        <w:t xml:space="preserve"> või ehitusjuht, tase 6, spetsialiseerumisega </w:t>
      </w:r>
      <w:proofErr w:type="spellStart"/>
      <w:r w:rsidR="00752EDE" w:rsidRPr="00110C8E">
        <w:rPr>
          <w:rFonts w:ascii="Times New Roman" w:hAnsi="Times New Roman" w:cs="Times New Roman"/>
          <w:color w:val="333333"/>
        </w:rPr>
        <w:t>sisekliima</w:t>
      </w:r>
      <w:proofErr w:type="spellEnd"/>
      <w:r w:rsidR="00752EDE" w:rsidRPr="00110C8E">
        <w:rPr>
          <w:rFonts w:ascii="Times New Roman" w:hAnsi="Times New Roman" w:cs="Times New Roman"/>
          <w:color w:val="333333"/>
        </w:rPr>
        <w:t xml:space="preserve"> tagamise süsteemide ehitamine</w:t>
      </w:r>
      <w:r w:rsidR="00E71922" w:rsidRPr="00110C8E">
        <w:rPr>
          <w:rFonts w:ascii="Times New Roman" w:hAnsi="Times New Roman" w:cs="Times New Roman"/>
          <w:color w:val="333333"/>
        </w:rPr>
        <w:t xml:space="preserve"> (</w:t>
      </w:r>
      <w:r w:rsidR="0037568D" w:rsidRPr="00110C8E">
        <w:rPr>
          <w:rFonts w:ascii="Times New Roman" w:hAnsi="Times New Roman" w:cs="Times New Roman"/>
          <w:color w:val="333333"/>
        </w:rPr>
        <w:t xml:space="preserve">NB! Juhul, </w:t>
      </w:r>
      <w:r w:rsidR="00E71922" w:rsidRPr="00110C8E">
        <w:rPr>
          <w:rFonts w:ascii="Times New Roman" w:hAnsi="Times New Roman" w:cs="Times New Roman"/>
          <w:color w:val="333333"/>
        </w:rPr>
        <w:t>kui hoone köetav pind on suurem, kui 10 000 m</w:t>
      </w:r>
      <w:r w:rsidR="00E71922" w:rsidRPr="00110C8E">
        <w:rPr>
          <w:rFonts w:ascii="Times New Roman" w:hAnsi="Times New Roman" w:cs="Times New Roman"/>
          <w:color w:val="333333"/>
          <w:vertAlign w:val="superscript"/>
        </w:rPr>
        <w:t>2</w:t>
      </w:r>
      <w:r w:rsidR="00E71922" w:rsidRPr="00110C8E">
        <w:rPr>
          <w:rFonts w:ascii="Times New Roman" w:hAnsi="Times New Roman" w:cs="Times New Roman"/>
          <w:color w:val="333333"/>
        </w:rPr>
        <w:t xml:space="preserve"> on vastavalt kutsestandardile vajalik pädevus diplomeeritud kütte-, ventilatsiooni- ja jahutuseinsener, tase 7)</w:t>
      </w:r>
      <w:r w:rsidR="00F4307F" w:rsidRPr="00110C8E">
        <w:rPr>
          <w:rFonts w:ascii="Times New Roman" w:hAnsi="Times New Roman" w:cs="Times New Roman"/>
          <w:color w:val="333333"/>
        </w:rPr>
        <w:t>.</w:t>
      </w:r>
      <w:r w:rsidRPr="00110C8E">
        <w:rPr>
          <w:rFonts w:ascii="Times New Roman" w:hAnsi="Times New Roman" w:cs="Times New Roman"/>
          <w:color w:val="333333"/>
        </w:rPr>
        <w:t xml:space="preserve"> </w:t>
      </w:r>
    </w:p>
    <w:p w14:paraId="742F4671" w14:textId="3FCA1DF2" w:rsidR="002C48B9" w:rsidRPr="00110C8E" w:rsidRDefault="002C48B9" w:rsidP="00110C8E">
      <w:pPr>
        <w:pStyle w:val="Loendilik"/>
        <w:numPr>
          <w:ilvl w:val="0"/>
          <w:numId w:val="18"/>
        </w:numPr>
        <w:jc w:val="both"/>
        <w:rPr>
          <w:rFonts w:ascii="Times New Roman" w:hAnsi="Times New Roman" w:cs="Times New Roman"/>
        </w:rPr>
      </w:pPr>
      <w:r>
        <w:rPr>
          <w:rFonts w:ascii="Times New Roman" w:hAnsi="Times New Roman" w:cs="Times New Roman"/>
          <w:color w:val="333333"/>
        </w:rPr>
        <w:lastRenderedPageBreak/>
        <w:t>Veevarustuse</w:t>
      </w:r>
      <w:r w:rsidR="00F83E81">
        <w:rPr>
          <w:rFonts w:ascii="Times New Roman" w:hAnsi="Times New Roman" w:cs="Times New Roman"/>
          <w:color w:val="333333"/>
        </w:rPr>
        <w:t>-</w:t>
      </w:r>
      <w:r>
        <w:rPr>
          <w:rFonts w:ascii="Times New Roman" w:hAnsi="Times New Roman" w:cs="Times New Roman"/>
          <w:color w:val="333333"/>
        </w:rPr>
        <w:t xml:space="preserve"> ja kan</w:t>
      </w:r>
      <w:r w:rsidR="00F83E81">
        <w:rPr>
          <w:rFonts w:ascii="Times New Roman" w:hAnsi="Times New Roman" w:cs="Times New Roman"/>
          <w:color w:val="333333"/>
        </w:rPr>
        <w:t>a</w:t>
      </w:r>
      <w:r>
        <w:rPr>
          <w:rFonts w:ascii="Times New Roman" w:hAnsi="Times New Roman" w:cs="Times New Roman"/>
          <w:color w:val="333333"/>
        </w:rPr>
        <w:t>lisatsiooni</w:t>
      </w:r>
      <w:r w:rsidR="00F83E81">
        <w:rPr>
          <w:rFonts w:ascii="Times New Roman" w:hAnsi="Times New Roman" w:cs="Times New Roman"/>
          <w:color w:val="333333"/>
        </w:rPr>
        <w:t xml:space="preserve">süsteemide tööde teostamisel on vajalik </w:t>
      </w:r>
      <w:r w:rsidRPr="00110C8E">
        <w:rPr>
          <w:rFonts w:ascii="Times New Roman" w:hAnsi="Times New Roman" w:cs="Times New Roman"/>
          <w:color w:val="333333"/>
        </w:rPr>
        <w:t xml:space="preserve">spetsialist, kellel on vähemalt kutsekvalifikatsioon </w:t>
      </w:r>
      <w:r w:rsidR="00F83E81">
        <w:rPr>
          <w:rFonts w:ascii="Times New Roman" w:hAnsi="Times New Roman" w:cs="Times New Roman"/>
          <w:color w:val="333333"/>
        </w:rPr>
        <w:t>v</w:t>
      </w:r>
      <w:r w:rsidR="00F83E81" w:rsidRPr="00F83E81">
        <w:rPr>
          <w:rFonts w:ascii="Times New Roman" w:hAnsi="Times New Roman" w:cs="Times New Roman"/>
          <w:color w:val="333333"/>
        </w:rPr>
        <w:t>eevarustuse- ja kanalisatsiooniinsener, tase 6</w:t>
      </w:r>
      <w:r w:rsidRPr="00110C8E">
        <w:rPr>
          <w:rFonts w:ascii="Times New Roman" w:hAnsi="Times New Roman" w:cs="Times New Roman"/>
          <w:color w:val="333333"/>
        </w:rPr>
        <w:t xml:space="preserve"> ametialadega ehitustegevuse juhtimine või ehitusjuht, tase 6, spetsialiseerumisega </w:t>
      </w:r>
      <w:r w:rsidR="00F83E81">
        <w:rPr>
          <w:rFonts w:ascii="Times New Roman" w:hAnsi="Times New Roman" w:cs="Times New Roman"/>
          <w:color w:val="333333"/>
        </w:rPr>
        <w:t xml:space="preserve">hoonesisese ja selle juurde kuuluva veevarustuse ja kanalisatsioonisüsteemi </w:t>
      </w:r>
      <w:r w:rsidRPr="00110C8E">
        <w:rPr>
          <w:rFonts w:ascii="Times New Roman" w:hAnsi="Times New Roman" w:cs="Times New Roman"/>
          <w:color w:val="333333"/>
        </w:rPr>
        <w:t>ehitamine (NB! Juhul, kui hoone köetav pind on suurem, kui 10 000 m</w:t>
      </w:r>
      <w:r w:rsidRPr="00110C8E">
        <w:rPr>
          <w:rFonts w:ascii="Times New Roman" w:hAnsi="Times New Roman" w:cs="Times New Roman"/>
          <w:color w:val="333333"/>
          <w:vertAlign w:val="superscript"/>
        </w:rPr>
        <w:t>2</w:t>
      </w:r>
      <w:r w:rsidRPr="00110C8E">
        <w:rPr>
          <w:rFonts w:ascii="Times New Roman" w:hAnsi="Times New Roman" w:cs="Times New Roman"/>
          <w:color w:val="333333"/>
        </w:rPr>
        <w:t xml:space="preserve"> on vastavalt kutsestandardile vajalik pädevus </w:t>
      </w:r>
      <w:r w:rsidR="00F83E81">
        <w:rPr>
          <w:rFonts w:ascii="Times New Roman" w:hAnsi="Times New Roman" w:cs="Times New Roman"/>
          <w:color w:val="333333"/>
        </w:rPr>
        <w:t>d</w:t>
      </w:r>
      <w:r w:rsidR="00F83E81" w:rsidRPr="00F83E81">
        <w:rPr>
          <w:rFonts w:ascii="Times New Roman" w:hAnsi="Times New Roman" w:cs="Times New Roman"/>
          <w:color w:val="333333"/>
        </w:rPr>
        <w:t>iplomeeritud veevarustuse- ja kanalisatsiooniinsener, tase 7</w:t>
      </w:r>
      <w:r w:rsidRPr="00110C8E">
        <w:rPr>
          <w:rFonts w:ascii="Times New Roman" w:hAnsi="Times New Roman" w:cs="Times New Roman"/>
          <w:color w:val="333333"/>
        </w:rPr>
        <w:t>).</w:t>
      </w:r>
    </w:p>
    <w:p w14:paraId="08DBDFA7" w14:textId="77777777" w:rsidR="0066359B" w:rsidRPr="0066359B" w:rsidRDefault="004F4C88" w:rsidP="00110C8E">
      <w:pPr>
        <w:pStyle w:val="Loendilik"/>
        <w:numPr>
          <w:ilvl w:val="0"/>
          <w:numId w:val="18"/>
        </w:numPr>
        <w:jc w:val="both"/>
        <w:rPr>
          <w:rFonts w:ascii="Times New Roman" w:hAnsi="Times New Roman" w:cs="Times New Roman"/>
        </w:rPr>
      </w:pPr>
      <w:r w:rsidRPr="00110C8E">
        <w:rPr>
          <w:rFonts w:ascii="Times New Roman" w:hAnsi="Times New Roman" w:cs="Times New Roman"/>
          <w:color w:val="333333"/>
        </w:rPr>
        <w:t xml:space="preserve">Elektritööde teostamisel on vajalik kutsekvalifikatsioon vähemalt B-klassi pädevustunnistus või elektriinsener tarbija elektripaigaldiste alal, tase 6. </w:t>
      </w:r>
    </w:p>
    <w:p w14:paraId="1D1A2C61" w14:textId="2097C013" w:rsidR="0066359B" w:rsidRPr="0066359B" w:rsidRDefault="00A14D2A" w:rsidP="007926DA">
      <w:pPr>
        <w:jc w:val="both"/>
        <w:rPr>
          <w:rFonts w:ascii="Times New Roman" w:hAnsi="Times New Roman" w:cs="Times New Roman"/>
          <w:color w:val="333333"/>
        </w:rPr>
      </w:pPr>
      <w:r w:rsidRPr="00A14D2A">
        <w:rPr>
          <w:rFonts w:ascii="Times New Roman" w:hAnsi="Times New Roman" w:cs="Times New Roman"/>
          <w:b/>
          <w:color w:val="333333"/>
        </w:rPr>
        <w:t>NB!</w:t>
      </w:r>
      <w:r>
        <w:rPr>
          <w:rFonts w:ascii="Times New Roman" w:hAnsi="Times New Roman" w:cs="Times New Roman"/>
          <w:color w:val="333333"/>
        </w:rPr>
        <w:t xml:space="preserve"> </w:t>
      </w:r>
      <w:r w:rsidR="00040B88" w:rsidRPr="00110C8E">
        <w:rPr>
          <w:rFonts w:ascii="Times New Roman" w:hAnsi="Times New Roman" w:cs="Times New Roman"/>
          <w:color w:val="333333"/>
        </w:rPr>
        <w:t xml:space="preserve">Juhul kui ettevõtja ei suuda iseseisvalt täita kvalifitseerimise tingimusi, on tal õigus tugineda teise isiku (nt </w:t>
      </w:r>
      <w:proofErr w:type="spellStart"/>
      <w:r w:rsidR="00040B88" w:rsidRPr="00110C8E">
        <w:rPr>
          <w:rFonts w:ascii="Times New Roman" w:hAnsi="Times New Roman" w:cs="Times New Roman"/>
          <w:color w:val="333333"/>
        </w:rPr>
        <w:t>ühispakkuja</w:t>
      </w:r>
      <w:proofErr w:type="spellEnd"/>
      <w:r w:rsidR="00040B88" w:rsidRPr="00110C8E">
        <w:rPr>
          <w:rFonts w:ascii="Times New Roman" w:hAnsi="Times New Roman" w:cs="Times New Roman"/>
          <w:color w:val="333333"/>
        </w:rPr>
        <w:t>) näitajatele, sel juhul tuleb esitada selle isiku, kelle näitajatele tuginetakse, allkirjastatud kinnitus, et ta osaleb vastavas osas lepingu täitmises.</w:t>
      </w:r>
      <w:r w:rsidR="00C96DB1" w:rsidRPr="00110C8E">
        <w:rPr>
          <w:rFonts w:ascii="Times New Roman" w:hAnsi="Times New Roman" w:cs="Times New Roman"/>
          <w:color w:val="333333"/>
        </w:rPr>
        <w:t xml:space="preserve"> </w:t>
      </w:r>
      <w:r w:rsidR="000B46C1" w:rsidRPr="000B46C1">
        <w:rPr>
          <w:rFonts w:ascii="Times New Roman" w:hAnsi="Times New Roman" w:cs="Times New Roman"/>
          <w:b/>
          <w:color w:val="333333"/>
        </w:rPr>
        <w:t xml:space="preserve">Teise isiku andmetele ei tohi tugineda siis, kui pakkujal endal (või </w:t>
      </w:r>
      <w:proofErr w:type="spellStart"/>
      <w:r w:rsidR="000B46C1" w:rsidRPr="000B46C1">
        <w:rPr>
          <w:rFonts w:ascii="Times New Roman" w:hAnsi="Times New Roman" w:cs="Times New Roman"/>
          <w:b/>
          <w:color w:val="333333"/>
        </w:rPr>
        <w:t>ühispakkumuse</w:t>
      </w:r>
      <w:proofErr w:type="spellEnd"/>
      <w:r w:rsidR="000B46C1" w:rsidRPr="000B46C1">
        <w:rPr>
          <w:rFonts w:ascii="Times New Roman" w:hAnsi="Times New Roman" w:cs="Times New Roman"/>
          <w:b/>
          <w:color w:val="333333"/>
        </w:rPr>
        <w:t xml:space="preserve"> korral vähemalt ühel </w:t>
      </w:r>
      <w:proofErr w:type="spellStart"/>
      <w:r w:rsidR="000B46C1" w:rsidRPr="000B46C1">
        <w:rPr>
          <w:rFonts w:ascii="Times New Roman" w:hAnsi="Times New Roman" w:cs="Times New Roman"/>
          <w:b/>
          <w:color w:val="333333"/>
        </w:rPr>
        <w:t>ühispakkujatest</w:t>
      </w:r>
      <w:proofErr w:type="spellEnd"/>
      <w:r w:rsidR="000B46C1" w:rsidRPr="000B46C1">
        <w:rPr>
          <w:rFonts w:ascii="Times New Roman" w:hAnsi="Times New Roman" w:cs="Times New Roman"/>
          <w:b/>
          <w:color w:val="333333"/>
        </w:rPr>
        <w:t>)</w:t>
      </w:r>
      <w:r w:rsidR="000B46C1">
        <w:rPr>
          <w:rFonts w:ascii="Times New Roman" w:hAnsi="Times New Roman" w:cs="Times New Roman"/>
          <w:b/>
          <w:color w:val="333333"/>
        </w:rPr>
        <w:t xml:space="preserve"> peab vastav</w:t>
      </w:r>
      <w:r w:rsidR="000B46C1" w:rsidRPr="000B46C1">
        <w:rPr>
          <w:rFonts w:ascii="Times New Roman" w:hAnsi="Times New Roman" w:cs="Times New Roman"/>
          <w:b/>
          <w:color w:val="333333"/>
        </w:rPr>
        <w:t xml:space="preserve"> pädevus/kogemus endal olemas olema.</w:t>
      </w:r>
      <w:r w:rsidR="000B46C1">
        <w:rPr>
          <w:rFonts w:ascii="Times New Roman" w:hAnsi="Times New Roman" w:cs="Times New Roman"/>
          <w:color w:val="333333"/>
        </w:rPr>
        <w:t xml:space="preserve"> </w:t>
      </w:r>
      <w:r w:rsidR="0066359B">
        <w:rPr>
          <w:rFonts w:ascii="Times New Roman" w:hAnsi="Times New Roman" w:cs="Times New Roman"/>
          <w:color w:val="333333"/>
        </w:rPr>
        <w:t>Juhul, k</w:t>
      </w:r>
      <w:r w:rsidR="0066359B" w:rsidRPr="0066359B">
        <w:rPr>
          <w:rFonts w:ascii="Times New Roman" w:hAnsi="Times New Roman" w:cs="Times New Roman"/>
          <w:color w:val="333333"/>
        </w:rPr>
        <w:t xml:space="preserve">ui </w:t>
      </w:r>
      <w:r w:rsidR="0066359B">
        <w:rPr>
          <w:rFonts w:ascii="Times New Roman" w:hAnsi="Times New Roman" w:cs="Times New Roman"/>
          <w:color w:val="333333"/>
        </w:rPr>
        <w:t xml:space="preserve">pakkuja </w:t>
      </w:r>
      <w:r w:rsidR="0066359B" w:rsidRPr="0066359B">
        <w:rPr>
          <w:rFonts w:ascii="Times New Roman" w:hAnsi="Times New Roman" w:cs="Times New Roman"/>
          <w:color w:val="333333"/>
        </w:rPr>
        <w:t xml:space="preserve">meeskonnas kirjeldatud isik on omandanud töö eripärale vastava kvalifikatsiooni välisriigis, peab kutse olema tõendatud vastavalt ehitusseadustiku § 24 </w:t>
      </w:r>
      <w:proofErr w:type="spellStart"/>
      <w:r w:rsidR="0066359B" w:rsidRPr="0066359B">
        <w:rPr>
          <w:rFonts w:ascii="Times New Roman" w:hAnsi="Times New Roman" w:cs="Times New Roman"/>
          <w:color w:val="333333"/>
        </w:rPr>
        <w:t>lg-le</w:t>
      </w:r>
      <w:proofErr w:type="spellEnd"/>
      <w:r w:rsidR="0066359B" w:rsidRPr="0066359B">
        <w:rPr>
          <w:rFonts w:ascii="Times New Roman" w:hAnsi="Times New Roman" w:cs="Times New Roman"/>
          <w:color w:val="333333"/>
        </w:rPr>
        <w:t xml:space="preserve"> 3. </w:t>
      </w:r>
    </w:p>
    <w:p w14:paraId="2572E183" w14:textId="7E9EF226" w:rsidR="002A1FD1" w:rsidRDefault="002A1FD1" w:rsidP="002A1FD1">
      <w:pPr>
        <w:jc w:val="both"/>
        <w:rPr>
          <w:rFonts w:ascii="Times New Roman" w:hAnsi="Times New Roman" w:cs="Times New Roman"/>
        </w:rPr>
      </w:pPr>
      <w:r w:rsidRPr="002A1FD1">
        <w:rPr>
          <w:rFonts w:ascii="Times New Roman" w:hAnsi="Times New Roman" w:cs="Times New Roman"/>
          <w:b/>
        </w:rPr>
        <w:t>Selgitus</w:t>
      </w:r>
      <w:r w:rsidR="00735EBA">
        <w:rPr>
          <w:rFonts w:ascii="Times New Roman" w:hAnsi="Times New Roman" w:cs="Times New Roman"/>
          <w:b/>
        </w:rPr>
        <w:t xml:space="preserve"> toetuse saajale</w:t>
      </w:r>
      <w:r w:rsidRPr="002A1FD1">
        <w:rPr>
          <w:rFonts w:ascii="Times New Roman" w:hAnsi="Times New Roman" w:cs="Times New Roman"/>
          <w:b/>
        </w:rPr>
        <w:t>:</w:t>
      </w:r>
      <w:r>
        <w:rPr>
          <w:rFonts w:ascii="Times New Roman" w:hAnsi="Times New Roman" w:cs="Times New Roman"/>
        </w:rPr>
        <w:t xml:space="preserve"> </w:t>
      </w:r>
      <w:r w:rsidR="005123C3" w:rsidRPr="00CC7483">
        <w:rPr>
          <w:rFonts w:ascii="Times New Roman" w:hAnsi="Times New Roman" w:cs="Times New Roman"/>
        </w:rPr>
        <w:t>Eeltoodud, pakkuja meeskonna pädevust sätestavate kvalifitseerimistingimuste kasutamisel tuleb</w:t>
      </w:r>
      <w:r w:rsidR="00FD7CD6" w:rsidRPr="00CC7483">
        <w:rPr>
          <w:rFonts w:ascii="Times New Roman" w:hAnsi="Times New Roman" w:cs="Times New Roman"/>
        </w:rPr>
        <w:t xml:space="preserve"> </w:t>
      </w:r>
      <w:proofErr w:type="spellStart"/>
      <w:r w:rsidR="00FD7CD6" w:rsidRPr="00CC7483">
        <w:rPr>
          <w:rFonts w:ascii="Times New Roman" w:hAnsi="Times New Roman" w:cs="Times New Roman"/>
        </w:rPr>
        <w:t>hankijal</w:t>
      </w:r>
      <w:proofErr w:type="spellEnd"/>
      <w:r w:rsidR="005123C3" w:rsidRPr="00CC7483">
        <w:rPr>
          <w:rFonts w:ascii="Times New Roman" w:hAnsi="Times New Roman" w:cs="Times New Roman"/>
        </w:rPr>
        <w:t xml:space="preserve"> lisada riigihangete registrisse kvalifitseerimistingimuste juurde märge, </w:t>
      </w:r>
      <w:r w:rsidR="005123C3" w:rsidRPr="00AB4177">
        <w:rPr>
          <w:rFonts w:ascii="Times New Roman" w:hAnsi="Times New Roman" w:cs="Times New Roman"/>
        </w:rPr>
        <w:t xml:space="preserve">et kvalifitseerimistingimusele vastavust võib pakkuja tõendada ka muu </w:t>
      </w:r>
      <w:proofErr w:type="spellStart"/>
      <w:r w:rsidR="005123C3" w:rsidRPr="00AB4177">
        <w:rPr>
          <w:rFonts w:ascii="Times New Roman" w:hAnsi="Times New Roman" w:cs="Times New Roman"/>
        </w:rPr>
        <w:t>korterelamu</w:t>
      </w:r>
      <w:proofErr w:type="spellEnd"/>
      <w:r w:rsidR="005123C3" w:rsidRPr="00AB4177">
        <w:rPr>
          <w:rFonts w:ascii="Times New Roman" w:hAnsi="Times New Roman" w:cs="Times New Roman"/>
        </w:rPr>
        <w:t xml:space="preserve"> rekonstrueerimiseks v</w:t>
      </w:r>
      <w:r w:rsidR="005A5E92" w:rsidRPr="00AB4177">
        <w:rPr>
          <w:rFonts w:ascii="Times New Roman" w:hAnsi="Times New Roman" w:cs="Times New Roman"/>
        </w:rPr>
        <w:t xml:space="preserve">ajalikku </w:t>
      </w:r>
      <w:r w:rsidR="003B4051" w:rsidRPr="00AB4177">
        <w:rPr>
          <w:rFonts w:ascii="Times New Roman" w:hAnsi="Times New Roman" w:cs="Times New Roman"/>
        </w:rPr>
        <w:t xml:space="preserve">samaväärset </w:t>
      </w:r>
      <w:r w:rsidR="005A5E92" w:rsidRPr="00AB4177">
        <w:rPr>
          <w:rFonts w:ascii="Times New Roman" w:hAnsi="Times New Roman" w:cs="Times New Roman"/>
        </w:rPr>
        <w:t xml:space="preserve">pädevust andva kutsega, </w:t>
      </w:r>
      <w:r w:rsidR="005A5E92" w:rsidRPr="00CC7483">
        <w:rPr>
          <w:rFonts w:ascii="Times New Roman" w:hAnsi="Times New Roman" w:cs="Times New Roman"/>
        </w:rPr>
        <w:t xml:space="preserve">mis pakkuja meeskonnaliikmele on omistatud. </w:t>
      </w:r>
      <w:r w:rsidR="0066359B">
        <w:rPr>
          <w:rFonts w:ascii="Times New Roman" w:hAnsi="Times New Roman" w:cs="Times New Roman"/>
        </w:rPr>
        <w:t xml:space="preserve">Samaväärne kutse on selline kutse, mis vastavalt kehtivale õigusele võimaldab vastavat töö osa teostada. </w:t>
      </w:r>
      <w:proofErr w:type="spellStart"/>
      <w:r w:rsidR="00AB4177">
        <w:rPr>
          <w:rFonts w:ascii="Times New Roman" w:hAnsi="Times New Roman" w:cs="Times New Roman"/>
        </w:rPr>
        <w:t>Hankija</w:t>
      </w:r>
      <w:proofErr w:type="spellEnd"/>
      <w:r w:rsidR="00AB4177">
        <w:rPr>
          <w:rFonts w:ascii="Times New Roman" w:hAnsi="Times New Roman" w:cs="Times New Roman"/>
        </w:rPr>
        <w:t xml:space="preserve"> kontrollib</w:t>
      </w:r>
      <w:r w:rsidR="0037568D" w:rsidRPr="002A1FD1">
        <w:rPr>
          <w:rFonts w:ascii="Times New Roman" w:hAnsi="Times New Roman" w:cs="Times New Roman"/>
        </w:rPr>
        <w:t xml:space="preserve"> pakkuja meeskonna pädevust selliselt, et pakkuja lisab vastavate kutsetunnistuste koopiad ning meeskonnaliikmete CV-d pakkumuse juurde</w:t>
      </w:r>
      <w:r w:rsidR="0084345B">
        <w:rPr>
          <w:rFonts w:ascii="Times New Roman" w:hAnsi="Times New Roman" w:cs="Times New Roman"/>
        </w:rPr>
        <w:t xml:space="preserve">, ning seega tuleb </w:t>
      </w:r>
      <w:r w:rsidR="00AB4177">
        <w:rPr>
          <w:rFonts w:ascii="Times New Roman" w:hAnsi="Times New Roman" w:cs="Times New Roman"/>
        </w:rPr>
        <w:t>dokumentides ette näha et eelnimetatud dokumendid tuleb esitada koos pakkumusega</w:t>
      </w:r>
      <w:r w:rsidR="0037568D" w:rsidRPr="002A1FD1">
        <w:rPr>
          <w:rFonts w:ascii="Times New Roman" w:hAnsi="Times New Roman" w:cs="Times New Roman"/>
        </w:rPr>
        <w:t>.</w:t>
      </w:r>
      <w:r w:rsidR="00133B82">
        <w:rPr>
          <w:rFonts w:ascii="Times New Roman" w:hAnsi="Times New Roman" w:cs="Times New Roman"/>
        </w:rPr>
        <w:t xml:space="preserve"> Lisaks tuleb arvestada käesoleva dokumendi punktides 2.4 ja 2.5 toodut, ning pakkumusega koos peavad olema ka isikute kinnitused enda kaasamiseks, kui nad ei ole pakkuja töötajad. </w:t>
      </w:r>
      <w:r w:rsidR="0037568D" w:rsidRPr="002A1FD1">
        <w:rPr>
          <w:rFonts w:ascii="Times New Roman" w:hAnsi="Times New Roman" w:cs="Times New Roman"/>
        </w:rPr>
        <w:t xml:space="preserve"> </w:t>
      </w:r>
      <w:r w:rsidR="00F61E90" w:rsidRPr="002A1FD1">
        <w:rPr>
          <w:rFonts w:ascii="Times New Roman" w:hAnsi="Times New Roman" w:cs="Times New Roman"/>
        </w:rPr>
        <w:t>Vastav nõue peab olema hankes tingimuse juures kirjeldatud</w:t>
      </w:r>
      <w:r w:rsidR="00133B82">
        <w:rPr>
          <w:rFonts w:ascii="Times New Roman" w:hAnsi="Times New Roman" w:cs="Times New Roman"/>
        </w:rPr>
        <w:t xml:space="preserve"> samal põhim</w:t>
      </w:r>
      <w:r w:rsidR="00A774F1">
        <w:rPr>
          <w:rFonts w:ascii="Times New Roman" w:hAnsi="Times New Roman" w:cs="Times New Roman"/>
        </w:rPr>
        <w:t>õttel, mis käesolevas dokumendis</w:t>
      </w:r>
      <w:r w:rsidR="00133B82">
        <w:rPr>
          <w:rFonts w:ascii="Times New Roman" w:hAnsi="Times New Roman" w:cs="Times New Roman"/>
        </w:rPr>
        <w:t>, sh punktides 2.4 ja 2.5</w:t>
      </w:r>
      <w:r w:rsidR="00F61E90" w:rsidRPr="002A1FD1">
        <w:rPr>
          <w:rFonts w:ascii="Times New Roman" w:hAnsi="Times New Roman" w:cs="Times New Roman"/>
        </w:rPr>
        <w:t xml:space="preserve">. </w:t>
      </w:r>
      <w:r w:rsidR="00133B82">
        <w:rPr>
          <w:rFonts w:ascii="Times New Roman" w:hAnsi="Times New Roman" w:cs="Times New Roman"/>
        </w:rPr>
        <w:t xml:space="preserve">Meeskonnaliikmete pädevuse </w:t>
      </w:r>
      <w:r w:rsidR="0037568D" w:rsidRPr="002A1FD1">
        <w:rPr>
          <w:rFonts w:ascii="Times New Roman" w:hAnsi="Times New Roman" w:cs="Times New Roman"/>
        </w:rPr>
        <w:t xml:space="preserve">kontrolli on võimalik teha ka Kutsekoja </w:t>
      </w:r>
      <w:r w:rsidR="0084345B">
        <w:rPr>
          <w:rFonts w:ascii="Times New Roman" w:hAnsi="Times New Roman" w:cs="Times New Roman"/>
        </w:rPr>
        <w:t>kodu</w:t>
      </w:r>
      <w:r w:rsidR="0037568D" w:rsidRPr="002A1FD1">
        <w:rPr>
          <w:rFonts w:ascii="Times New Roman" w:hAnsi="Times New Roman" w:cs="Times New Roman"/>
        </w:rPr>
        <w:t>lehelt</w:t>
      </w:r>
      <w:r w:rsidR="0084345B">
        <w:rPr>
          <w:rFonts w:ascii="Times New Roman" w:hAnsi="Times New Roman" w:cs="Times New Roman"/>
        </w:rPr>
        <w:t xml:space="preserve"> (</w:t>
      </w:r>
      <w:hyperlink r:id="rId11" w:history="1">
        <w:r w:rsidR="0084345B" w:rsidRPr="00E36B3D">
          <w:rPr>
            <w:rStyle w:val="Hperlink"/>
            <w:rFonts w:ascii="Times New Roman" w:hAnsi="Times New Roman" w:cs="Times New Roman"/>
          </w:rPr>
          <w:t>www.kutsekoda.ee</w:t>
        </w:r>
      </w:hyperlink>
      <w:r w:rsidR="0084345B">
        <w:rPr>
          <w:rFonts w:ascii="Times New Roman" w:hAnsi="Times New Roman" w:cs="Times New Roman"/>
        </w:rPr>
        <w:t xml:space="preserve">) </w:t>
      </w:r>
      <w:r w:rsidR="0037568D" w:rsidRPr="002A1FD1">
        <w:rPr>
          <w:rFonts w:ascii="Times New Roman" w:hAnsi="Times New Roman" w:cs="Times New Roman"/>
        </w:rPr>
        <w:t xml:space="preserve"> ning </w:t>
      </w:r>
      <w:proofErr w:type="spellStart"/>
      <w:r w:rsidR="0037568D" w:rsidRPr="002A1FD1">
        <w:rPr>
          <w:rFonts w:ascii="Times New Roman" w:hAnsi="Times New Roman" w:cs="Times New Roman"/>
        </w:rPr>
        <w:t>MTRist</w:t>
      </w:r>
      <w:proofErr w:type="spellEnd"/>
      <w:r w:rsidR="0084345B">
        <w:rPr>
          <w:rFonts w:ascii="Times New Roman" w:hAnsi="Times New Roman" w:cs="Times New Roman"/>
        </w:rPr>
        <w:t xml:space="preserve"> (m</w:t>
      </w:r>
      <w:r w:rsidR="00625226" w:rsidRPr="002A1FD1">
        <w:rPr>
          <w:rFonts w:ascii="Times New Roman" w:hAnsi="Times New Roman" w:cs="Times New Roman"/>
        </w:rPr>
        <w:t xml:space="preserve">ajandustegevuse register aadressil </w:t>
      </w:r>
      <w:hyperlink r:id="rId12" w:history="1">
        <w:r w:rsidR="00625226" w:rsidRPr="00133B82">
          <w:rPr>
            <w:rStyle w:val="Hperlink"/>
            <w:rFonts w:ascii="Times New Roman" w:hAnsi="Times New Roman" w:cs="Times New Roman"/>
          </w:rPr>
          <w:t>www.mtr.mkm.ee</w:t>
        </w:r>
      </w:hyperlink>
      <w:r w:rsidR="00625226" w:rsidRPr="002A1FD1">
        <w:rPr>
          <w:rFonts w:ascii="Times New Roman" w:hAnsi="Times New Roman" w:cs="Times New Roman"/>
        </w:rPr>
        <w:t xml:space="preserve">). </w:t>
      </w:r>
      <w:proofErr w:type="spellStart"/>
      <w:r w:rsidR="00F61E90" w:rsidRPr="002A1FD1">
        <w:rPr>
          <w:rFonts w:ascii="Times New Roman" w:hAnsi="Times New Roman" w:cs="Times New Roman"/>
        </w:rPr>
        <w:t>Hankija</w:t>
      </w:r>
      <w:proofErr w:type="spellEnd"/>
      <w:r w:rsidR="00F61E90" w:rsidRPr="002A1FD1">
        <w:rPr>
          <w:rFonts w:ascii="Times New Roman" w:hAnsi="Times New Roman" w:cs="Times New Roman"/>
        </w:rPr>
        <w:t xml:space="preserve"> peab kontrollima pakkujate meeskondade pädevust. </w:t>
      </w:r>
      <w:r w:rsidR="00CB10AA" w:rsidRPr="00CB10AA">
        <w:rPr>
          <w:i/>
          <w:iCs/>
        </w:rPr>
        <w:t xml:space="preserve"> </w:t>
      </w:r>
      <w:r w:rsidR="00CB10AA" w:rsidRPr="00CB10AA">
        <w:rPr>
          <w:rFonts w:ascii="Times New Roman" w:hAnsi="Times New Roman" w:cs="Times New Roman"/>
          <w:iCs/>
        </w:rPr>
        <w:t xml:space="preserve">Rekonstrueerimistööde elluviimiseks vajalike pädevate isikute arv on </w:t>
      </w:r>
      <w:proofErr w:type="spellStart"/>
      <w:r w:rsidR="00CB10AA" w:rsidRPr="00CB10AA">
        <w:rPr>
          <w:rFonts w:ascii="Times New Roman" w:hAnsi="Times New Roman" w:cs="Times New Roman"/>
          <w:iCs/>
        </w:rPr>
        <w:t>Hankija</w:t>
      </w:r>
      <w:proofErr w:type="spellEnd"/>
      <w:r w:rsidR="00CB10AA" w:rsidRPr="00CB10AA">
        <w:rPr>
          <w:rFonts w:ascii="Times New Roman" w:hAnsi="Times New Roman" w:cs="Times New Roman"/>
          <w:iCs/>
        </w:rPr>
        <w:t xml:space="preserve"> otsustada olenevalt teostatavate rekonstrueerimistööde mahust. Minimaalselt on </w:t>
      </w:r>
      <w:r w:rsidR="00AB4177">
        <w:rPr>
          <w:rFonts w:ascii="Times New Roman" w:hAnsi="Times New Roman" w:cs="Times New Roman"/>
          <w:iCs/>
        </w:rPr>
        <w:t xml:space="preserve">aga </w:t>
      </w:r>
      <w:r w:rsidR="00CB10AA" w:rsidRPr="00CB10AA">
        <w:rPr>
          <w:rFonts w:ascii="Times New Roman" w:hAnsi="Times New Roman" w:cs="Times New Roman"/>
          <w:iCs/>
        </w:rPr>
        <w:t>vaja kahte isikut: üldehituse vastutav spetsialist ja eritööde (küte ja ventilatsioon) vastutav spetsialist. Pädevuse olemasolul võib üks ja sama isik täita ka mitut rolli.</w:t>
      </w:r>
      <w:r w:rsidR="00CB10AA" w:rsidRPr="002C48B9">
        <w:rPr>
          <w:i/>
          <w:iCs/>
        </w:rPr>
        <w:t xml:space="preserve"> </w:t>
      </w:r>
    </w:p>
    <w:p w14:paraId="3DD8E49A" w14:textId="48356CDB" w:rsidR="002A1FD1" w:rsidRDefault="00133B82" w:rsidP="002A1FD1">
      <w:pPr>
        <w:jc w:val="both"/>
        <w:rPr>
          <w:rFonts w:ascii="Times New Roman" w:hAnsi="Times New Roman" w:cs="Times New Roman"/>
        </w:rPr>
      </w:pPr>
      <w:r w:rsidRPr="002A1FD1">
        <w:rPr>
          <w:rFonts w:ascii="Times New Roman" w:hAnsi="Times New Roman" w:cs="Times New Roman"/>
        </w:rPr>
        <w:t xml:space="preserve">3.2.4. </w:t>
      </w:r>
      <w:r w:rsidR="00040B88" w:rsidRPr="002A1FD1">
        <w:rPr>
          <w:rFonts w:ascii="Times New Roman" w:hAnsi="Times New Roman" w:cs="Times New Roman"/>
        </w:rPr>
        <w:t xml:space="preserve">Pakkuja </w:t>
      </w:r>
      <w:r w:rsidR="00F02217" w:rsidRPr="002A1FD1">
        <w:rPr>
          <w:rFonts w:ascii="Times New Roman" w:hAnsi="Times New Roman" w:cs="Times New Roman"/>
        </w:rPr>
        <w:t>peab olema esitanud</w:t>
      </w:r>
      <w:r w:rsidR="00040B88" w:rsidRPr="002A1FD1">
        <w:rPr>
          <w:rFonts w:ascii="Times New Roman" w:hAnsi="Times New Roman" w:cs="Times New Roman"/>
        </w:rPr>
        <w:t xml:space="preserve"> majandustegevuse registris (</w:t>
      </w:r>
      <w:hyperlink r:id="rId13" w:history="1">
        <w:r w:rsidR="0084345B" w:rsidRPr="00E36B3D">
          <w:rPr>
            <w:rStyle w:val="Hperlink"/>
            <w:rFonts w:ascii="Times New Roman" w:hAnsi="Times New Roman" w:cs="Times New Roman"/>
          </w:rPr>
          <w:t>www.mtr.mkm.ee</w:t>
        </w:r>
      </w:hyperlink>
      <w:r w:rsidR="0084345B">
        <w:rPr>
          <w:rFonts w:ascii="Times New Roman" w:hAnsi="Times New Roman" w:cs="Times New Roman"/>
        </w:rPr>
        <w:t xml:space="preserve">) </w:t>
      </w:r>
      <w:r w:rsidR="00F02217" w:rsidRPr="002A1FD1">
        <w:rPr>
          <w:rFonts w:ascii="Times New Roman" w:hAnsi="Times New Roman" w:cs="Times New Roman"/>
        </w:rPr>
        <w:t>tegevusalal ``Ehitamine`` majandustegevusteate</w:t>
      </w:r>
      <w:r w:rsidR="00EF0123" w:rsidRPr="002A1FD1">
        <w:rPr>
          <w:rFonts w:ascii="Times New Roman" w:hAnsi="Times New Roman" w:cs="Times New Roman"/>
        </w:rPr>
        <w:t xml:space="preserve"> tegevusala liikidega: üldehituslik ehitamine, </w:t>
      </w:r>
      <w:proofErr w:type="spellStart"/>
      <w:r w:rsidR="00EF0123" w:rsidRPr="002A1FD1">
        <w:rPr>
          <w:rFonts w:ascii="Times New Roman" w:hAnsi="Times New Roman" w:cs="Times New Roman"/>
        </w:rPr>
        <w:t>sisekliima</w:t>
      </w:r>
      <w:proofErr w:type="spellEnd"/>
      <w:r w:rsidR="00EF0123" w:rsidRPr="002A1FD1">
        <w:rPr>
          <w:rFonts w:ascii="Times New Roman" w:hAnsi="Times New Roman" w:cs="Times New Roman"/>
        </w:rPr>
        <w:t xml:space="preserve"> tagamise süsteem, hoonesisene või selle juurde kuuluv veevarustuse või kanalisatsioonisüsteem</w:t>
      </w:r>
      <w:r w:rsidR="006241CC" w:rsidRPr="002A1FD1">
        <w:rPr>
          <w:rFonts w:ascii="Times New Roman" w:hAnsi="Times New Roman" w:cs="Times New Roman"/>
        </w:rPr>
        <w:t xml:space="preserve">. Elektritööde teostamisel </w:t>
      </w:r>
      <w:r w:rsidR="00AB4177">
        <w:rPr>
          <w:rFonts w:ascii="Times New Roman" w:hAnsi="Times New Roman" w:cs="Times New Roman"/>
        </w:rPr>
        <w:t xml:space="preserve">peab olema esitatud </w:t>
      </w:r>
      <w:r w:rsidR="006241CC" w:rsidRPr="002A1FD1">
        <w:rPr>
          <w:rFonts w:ascii="Times New Roman" w:hAnsi="Times New Roman" w:cs="Times New Roman"/>
        </w:rPr>
        <w:t>majandustegevuse registri</w:t>
      </w:r>
      <w:r w:rsidR="00AB4177">
        <w:rPr>
          <w:rFonts w:ascii="Times New Roman" w:hAnsi="Times New Roman" w:cs="Times New Roman"/>
        </w:rPr>
        <w:t>s</w:t>
      </w:r>
      <w:r w:rsidR="006241CC" w:rsidRPr="002A1FD1">
        <w:rPr>
          <w:rFonts w:ascii="Times New Roman" w:hAnsi="Times New Roman" w:cs="Times New Roman"/>
        </w:rPr>
        <w:t xml:space="preserve"> majandustegevusteade tegevusalal „Elektritööd“ tegevusala liigiga elektripaigaldise ehitamine, s.h. paigaldamine.</w:t>
      </w:r>
      <w:r w:rsidR="00C14945" w:rsidRPr="002A1FD1">
        <w:rPr>
          <w:rFonts w:ascii="Times New Roman" w:hAnsi="Times New Roman" w:cs="Times New Roman"/>
        </w:rPr>
        <w:t xml:space="preserve"> </w:t>
      </w:r>
      <w:r w:rsidR="00C14945" w:rsidRPr="002A1FD1">
        <w:rPr>
          <w:rFonts w:ascii="Times New Roman" w:hAnsi="Times New Roman" w:cs="Times New Roman"/>
          <w:color w:val="333333"/>
        </w:rPr>
        <w:t>Juhul kui ettevõtja ei suuda iseseisvalt täita</w:t>
      </w:r>
      <w:r w:rsidR="002A1FD1">
        <w:rPr>
          <w:rFonts w:ascii="Times New Roman" w:hAnsi="Times New Roman" w:cs="Times New Roman"/>
          <w:color w:val="333333"/>
        </w:rPr>
        <w:t xml:space="preserve"> antud kvalifitseerimise tingimust registreeringute kohta</w:t>
      </w:r>
      <w:r w:rsidR="00C14945" w:rsidRPr="002A1FD1">
        <w:rPr>
          <w:rFonts w:ascii="Times New Roman" w:hAnsi="Times New Roman" w:cs="Times New Roman"/>
          <w:color w:val="333333"/>
        </w:rPr>
        <w:t>, on ta</w:t>
      </w:r>
      <w:r w:rsidR="002A1FD1">
        <w:rPr>
          <w:rFonts w:ascii="Times New Roman" w:hAnsi="Times New Roman" w:cs="Times New Roman"/>
          <w:color w:val="333333"/>
        </w:rPr>
        <w:t>l õigus tugineda teise isiku (võib olla ka</w:t>
      </w:r>
      <w:r w:rsidR="00C14945" w:rsidRPr="002A1FD1">
        <w:rPr>
          <w:rFonts w:ascii="Times New Roman" w:hAnsi="Times New Roman" w:cs="Times New Roman"/>
          <w:color w:val="333333"/>
        </w:rPr>
        <w:t xml:space="preserve"> </w:t>
      </w:r>
      <w:proofErr w:type="spellStart"/>
      <w:r w:rsidR="00C14945" w:rsidRPr="002A1FD1">
        <w:rPr>
          <w:rFonts w:ascii="Times New Roman" w:hAnsi="Times New Roman" w:cs="Times New Roman"/>
          <w:color w:val="333333"/>
        </w:rPr>
        <w:t>ühispakkuja</w:t>
      </w:r>
      <w:proofErr w:type="spellEnd"/>
      <w:r w:rsidR="00C14945" w:rsidRPr="002A1FD1">
        <w:rPr>
          <w:rFonts w:ascii="Times New Roman" w:hAnsi="Times New Roman" w:cs="Times New Roman"/>
          <w:color w:val="333333"/>
        </w:rPr>
        <w:t xml:space="preserve">) näitajatele, sel juhul tuleb esitada </w:t>
      </w:r>
      <w:r w:rsidR="00751814">
        <w:rPr>
          <w:rFonts w:ascii="Times New Roman" w:hAnsi="Times New Roman" w:cs="Times New Roman"/>
          <w:color w:val="333333"/>
        </w:rPr>
        <w:t xml:space="preserve">pakkumusega koos </w:t>
      </w:r>
      <w:r w:rsidR="00C14945" w:rsidRPr="002A1FD1">
        <w:rPr>
          <w:rFonts w:ascii="Times New Roman" w:hAnsi="Times New Roman" w:cs="Times New Roman"/>
          <w:color w:val="333333"/>
        </w:rPr>
        <w:t>selle isiku, kelle näitajatele tuginetakse, allkirjastatud kinnitus, et ta osaleb vastavas osas lepingu täitmises</w:t>
      </w:r>
      <w:r w:rsidRPr="002A1FD1">
        <w:rPr>
          <w:rFonts w:ascii="Times New Roman" w:hAnsi="Times New Roman" w:cs="Times New Roman"/>
          <w:color w:val="333333"/>
        </w:rPr>
        <w:t xml:space="preserve"> kogu lepingu täitmise aja jooksul</w:t>
      </w:r>
      <w:r w:rsidR="00A774F1">
        <w:rPr>
          <w:rFonts w:ascii="Times New Roman" w:hAnsi="Times New Roman" w:cs="Times New Roman"/>
          <w:color w:val="333333"/>
        </w:rPr>
        <w:t>.</w:t>
      </w:r>
      <w:r w:rsidR="007D5E18" w:rsidRPr="002A1FD1">
        <w:rPr>
          <w:rFonts w:ascii="Times New Roman" w:hAnsi="Times New Roman" w:cs="Times New Roman"/>
          <w:color w:val="333333"/>
        </w:rPr>
        <w:t xml:space="preserve"> Välismaisele pakkujale </w:t>
      </w:r>
      <w:r w:rsidR="00A774F1">
        <w:rPr>
          <w:rFonts w:ascii="Times New Roman" w:hAnsi="Times New Roman" w:cs="Times New Roman"/>
          <w:color w:val="333333"/>
        </w:rPr>
        <w:t xml:space="preserve">MTR registreeringu </w:t>
      </w:r>
      <w:r w:rsidR="00490260" w:rsidRPr="002A1FD1">
        <w:rPr>
          <w:rFonts w:ascii="Times New Roman" w:hAnsi="Times New Roman" w:cs="Times New Roman"/>
          <w:color w:val="333333"/>
        </w:rPr>
        <w:t>nõuet ei kohaldata.</w:t>
      </w:r>
    </w:p>
    <w:p w14:paraId="1710177F" w14:textId="06C1CC6F" w:rsidR="002A1FD1" w:rsidRDefault="00490260" w:rsidP="002A1FD1">
      <w:pPr>
        <w:jc w:val="both"/>
        <w:rPr>
          <w:rFonts w:ascii="Times New Roman" w:hAnsi="Times New Roman" w:cs="Times New Roman"/>
        </w:rPr>
      </w:pPr>
      <w:r w:rsidRPr="002A1FD1">
        <w:rPr>
          <w:rFonts w:ascii="Times New Roman" w:hAnsi="Times New Roman" w:cs="Times New Roman"/>
          <w:b/>
        </w:rPr>
        <w:t>Selgitus</w:t>
      </w:r>
      <w:r w:rsidR="00735EBA">
        <w:rPr>
          <w:rFonts w:ascii="Times New Roman" w:hAnsi="Times New Roman" w:cs="Times New Roman"/>
          <w:b/>
        </w:rPr>
        <w:t xml:space="preserve"> toetuse saajale</w:t>
      </w:r>
      <w:r w:rsidRPr="002A1FD1">
        <w:rPr>
          <w:rFonts w:ascii="Times New Roman" w:hAnsi="Times New Roman" w:cs="Times New Roman"/>
          <w:b/>
        </w:rPr>
        <w:t>:</w:t>
      </w:r>
      <w:r w:rsidRPr="002A1FD1">
        <w:rPr>
          <w:rFonts w:ascii="Times New Roman" w:hAnsi="Times New Roman" w:cs="Times New Roman"/>
        </w:rPr>
        <w:t xml:space="preserve"> Andmeid kontrollitakse MTR-ist</w:t>
      </w:r>
      <w:r w:rsidR="00CF35ED" w:rsidRPr="002A1FD1">
        <w:rPr>
          <w:rFonts w:ascii="Times New Roman" w:hAnsi="Times New Roman" w:cs="Times New Roman"/>
        </w:rPr>
        <w:t xml:space="preserve"> (Majandustegevuse register aadressil </w:t>
      </w:r>
      <w:hyperlink r:id="rId14" w:history="1">
        <w:r w:rsidR="00CF35ED" w:rsidRPr="002A1FD1">
          <w:rPr>
            <w:rStyle w:val="Hperlink"/>
            <w:rFonts w:ascii="Times New Roman" w:hAnsi="Times New Roman" w:cs="Times New Roman"/>
          </w:rPr>
          <w:t>www.mtr.mkm.ee</w:t>
        </w:r>
      </w:hyperlink>
      <w:r w:rsidR="003A1DC6" w:rsidRPr="002A1FD1">
        <w:rPr>
          <w:rFonts w:ascii="Times New Roman" w:hAnsi="Times New Roman" w:cs="Times New Roman"/>
        </w:rPr>
        <w:t>)</w:t>
      </w:r>
      <w:r w:rsidRPr="002A1FD1">
        <w:rPr>
          <w:rFonts w:ascii="Times New Roman" w:hAnsi="Times New Roman" w:cs="Times New Roman"/>
        </w:rPr>
        <w:t>.</w:t>
      </w:r>
      <w:r w:rsidR="007D5E18" w:rsidRPr="002A1FD1">
        <w:rPr>
          <w:rFonts w:ascii="Times New Roman" w:hAnsi="Times New Roman" w:cs="Times New Roman"/>
        </w:rPr>
        <w:t xml:space="preserve"> </w:t>
      </w:r>
      <w:proofErr w:type="spellStart"/>
      <w:r w:rsidR="007D5E18" w:rsidRPr="002A1FD1">
        <w:rPr>
          <w:rFonts w:ascii="Times New Roman" w:hAnsi="Times New Roman" w:cs="Times New Roman"/>
        </w:rPr>
        <w:t>Hankija</w:t>
      </w:r>
      <w:proofErr w:type="spellEnd"/>
      <w:r w:rsidR="007D5E18" w:rsidRPr="002A1FD1">
        <w:rPr>
          <w:rFonts w:ascii="Times New Roman" w:hAnsi="Times New Roman" w:cs="Times New Roman"/>
        </w:rPr>
        <w:t xml:space="preserve"> peab kontrollima pakkujate registreeringut</w:t>
      </w:r>
      <w:r w:rsidR="00133B82" w:rsidRPr="002A1FD1">
        <w:rPr>
          <w:rFonts w:ascii="Times New Roman" w:hAnsi="Times New Roman" w:cs="Times New Roman"/>
        </w:rPr>
        <w:t xml:space="preserve"> ning tagama juhul, kui punktis 3.2.4 ni</w:t>
      </w:r>
      <w:r w:rsidR="00A774F1">
        <w:rPr>
          <w:rFonts w:ascii="Times New Roman" w:hAnsi="Times New Roman" w:cs="Times New Roman"/>
        </w:rPr>
        <w:t xml:space="preserve">metatud registreeringuid ei oma </w:t>
      </w:r>
      <w:r w:rsidR="00133B82" w:rsidRPr="002A1FD1">
        <w:rPr>
          <w:rFonts w:ascii="Times New Roman" w:hAnsi="Times New Roman" w:cs="Times New Roman"/>
        </w:rPr>
        <w:t xml:space="preserve">pakkuja või </w:t>
      </w:r>
      <w:proofErr w:type="spellStart"/>
      <w:r w:rsidR="00133B82" w:rsidRPr="002A1FD1">
        <w:rPr>
          <w:rFonts w:ascii="Times New Roman" w:hAnsi="Times New Roman" w:cs="Times New Roman"/>
        </w:rPr>
        <w:t>ühispakkumuse</w:t>
      </w:r>
      <w:proofErr w:type="spellEnd"/>
      <w:r w:rsidR="00133B82" w:rsidRPr="002A1FD1">
        <w:rPr>
          <w:rFonts w:ascii="Times New Roman" w:hAnsi="Times New Roman" w:cs="Times New Roman"/>
        </w:rPr>
        <w:t xml:space="preserve"> korral üks </w:t>
      </w:r>
      <w:proofErr w:type="spellStart"/>
      <w:r w:rsidR="00133B82" w:rsidRPr="002A1FD1">
        <w:rPr>
          <w:rFonts w:ascii="Times New Roman" w:hAnsi="Times New Roman" w:cs="Times New Roman"/>
        </w:rPr>
        <w:t>ühispakkujatest</w:t>
      </w:r>
      <w:proofErr w:type="spellEnd"/>
      <w:r w:rsidR="00133B82" w:rsidRPr="002A1FD1">
        <w:rPr>
          <w:rFonts w:ascii="Times New Roman" w:hAnsi="Times New Roman" w:cs="Times New Roman"/>
        </w:rPr>
        <w:t>, et pakkumusega koos oleks esitatud käesoleva dokumendi punktis 2.4 nimetatud kinnitused. Vasta</w:t>
      </w:r>
      <w:r w:rsidR="0084345B">
        <w:rPr>
          <w:rFonts w:ascii="Times New Roman" w:hAnsi="Times New Roman" w:cs="Times New Roman"/>
        </w:rPr>
        <w:t>v nõue tuleb dokumentides</w:t>
      </w:r>
      <w:r w:rsidR="00A774F1">
        <w:rPr>
          <w:rFonts w:ascii="Times New Roman" w:hAnsi="Times New Roman" w:cs="Times New Roman"/>
        </w:rPr>
        <w:t xml:space="preserve"> kirjeldada samas sõnastuses kui punktis 2.4 toodu. </w:t>
      </w:r>
    </w:p>
    <w:p w14:paraId="5D928220" w14:textId="14BC1424" w:rsidR="00133B82" w:rsidRPr="002A1FD1" w:rsidRDefault="00133B82" w:rsidP="002A1FD1">
      <w:pPr>
        <w:jc w:val="both"/>
        <w:rPr>
          <w:rFonts w:ascii="Times New Roman" w:hAnsi="Times New Roman" w:cs="Times New Roman"/>
          <w:b/>
        </w:rPr>
      </w:pPr>
      <w:r w:rsidRPr="002A1FD1">
        <w:rPr>
          <w:rFonts w:ascii="Times New Roman" w:hAnsi="Times New Roman" w:cs="Times New Roman"/>
          <w:b/>
        </w:rPr>
        <w:lastRenderedPageBreak/>
        <w:t>3.3.</w:t>
      </w:r>
      <w:r w:rsidRPr="002A1FD1">
        <w:rPr>
          <w:rFonts w:ascii="Times New Roman" w:hAnsi="Times New Roman" w:cs="Times New Roman"/>
        </w:rPr>
        <w:t xml:space="preserve"> </w:t>
      </w:r>
      <w:r w:rsidRPr="002A1FD1">
        <w:rPr>
          <w:rFonts w:ascii="Times New Roman" w:hAnsi="Times New Roman" w:cs="Times New Roman"/>
          <w:b/>
        </w:rPr>
        <w:t>Toetuse saaja hankes täiendavalt lubatavad kvalifitseer</w:t>
      </w:r>
      <w:r w:rsidR="00D30C5F">
        <w:rPr>
          <w:rFonts w:ascii="Times New Roman" w:hAnsi="Times New Roman" w:cs="Times New Roman"/>
          <w:b/>
        </w:rPr>
        <w:t>imistingimused. Allajärgnevates</w:t>
      </w:r>
      <w:r w:rsidRPr="002A1FD1">
        <w:rPr>
          <w:rFonts w:ascii="Times New Roman" w:hAnsi="Times New Roman" w:cs="Times New Roman"/>
          <w:b/>
        </w:rPr>
        <w:t xml:space="preserve"> punktides (3.3.1</w:t>
      </w:r>
      <w:r w:rsidR="00974BA2" w:rsidRPr="002A1FD1">
        <w:rPr>
          <w:rFonts w:ascii="Times New Roman" w:hAnsi="Times New Roman" w:cs="Times New Roman"/>
          <w:b/>
        </w:rPr>
        <w:t xml:space="preserve"> ja 3.3.2</w:t>
      </w:r>
      <w:r w:rsidRPr="002A1FD1">
        <w:rPr>
          <w:rFonts w:ascii="Times New Roman" w:hAnsi="Times New Roman" w:cs="Times New Roman"/>
          <w:b/>
        </w:rPr>
        <w:t xml:space="preserve">) nimetatud </w:t>
      </w:r>
      <w:proofErr w:type="spellStart"/>
      <w:r w:rsidRPr="002A1FD1">
        <w:rPr>
          <w:rFonts w:ascii="Times New Roman" w:hAnsi="Times New Roman" w:cs="Times New Roman"/>
          <w:b/>
        </w:rPr>
        <w:t>kvalifitseerim</w:t>
      </w:r>
      <w:r w:rsidR="00DE4D9F" w:rsidRPr="002A1FD1">
        <w:rPr>
          <w:rFonts w:ascii="Times New Roman" w:hAnsi="Times New Roman" w:cs="Times New Roman"/>
          <w:b/>
        </w:rPr>
        <w:t>i</w:t>
      </w:r>
      <w:r w:rsidRPr="002A1FD1">
        <w:rPr>
          <w:rFonts w:ascii="Times New Roman" w:hAnsi="Times New Roman" w:cs="Times New Roman"/>
          <w:b/>
        </w:rPr>
        <w:t>sitingimusi</w:t>
      </w:r>
      <w:proofErr w:type="spellEnd"/>
      <w:r w:rsidRPr="002A1FD1">
        <w:rPr>
          <w:rFonts w:ascii="Times New Roman" w:hAnsi="Times New Roman" w:cs="Times New Roman"/>
          <w:b/>
        </w:rPr>
        <w:t xml:space="preserve"> võib toetuse saaja kasutada, kui</w:t>
      </w:r>
      <w:r w:rsidR="00A328B7">
        <w:rPr>
          <w:rFonts w:ascii="Times New Roman" w:hAnsi="Times New Roman" w:cs="Times New Roman"/>
          <w:b/>
        </w:rPr>
        <w:t>d</w:t>
      </w:r>
      <w:r w:rsidRPr="002A1FD1">
        <w:rPr>
          <w:rFonts w:ascii="Times New Roman" w:hAnsi="Times New Roman" w:cs="Times New Roman"/>
          <w:b/>
        </w:rPr>
        <w:t xml:space="preserve"> erinevalt punktis 3.2 ja selle alapunktides nimetatud kriteeriumitest, ei ole see kohustuslik. </w:t>
      </w:r>
    </w:p>
    <w:p w14:paraId="70F42165" w14:textId="77777777" w:rsidR="002A1FD1" w:rsidRDefault="00133B82" w:rsidP="002A1FD1">
      <w:pPr>
        <w:jc w:val="both"/>
        <w:rPr>
          <w:rFonts w:ascii="Times New Roman" w:hAnsi="Times New Roman" w:cs="Times New Roman"/>
        </w:rPr>
      </w:pPr>
      <w:r w:rsidRPr="002A1FD1">
        <w:rPr>
          <w:rFonts w:ascii="Times New Roman" w:hAnsi="Times New Roman" w:cs="Times New Roman"/>
        </w:rPr>
        <w:t xml:space="preserve">3.3.1. </w:t>
      </w:r>
      <w:r w:rsidR="003F0879" w:rsidRPr="002A1FD1">
        <w:rPr>
          <w:rFonts w:ascii="Times New Roman" w:hAnsi="Times New Roman" w:cs="Times New Roman"/>
        </w:rPr>
        <w:t>Pakkujal peab olema ehitustööde tegevusvaldkonnas rakendatud kvaliteedijuhtimissüsteem, mis vastaks vähemalt ISO 9001 standardis või samaväärses dokumendis sätestatud tingimustele.</w:t>
      </w:r>
      <w:r w:rsidR="007C6FFA" w:rsidRPr="002A1FD1">
        <w:rPr>
          <w:rFonts w:ascii="Times New Roman" w:hAnsi="Times New Roman" w:cs="Times New Roman"/>
        </w:rPr>
        <w:t xml:space="preserve"> Samaväärseks dokumendiks loeb </w:t>
      </w:r>
      <w:proofErr w:type="spellStart"/>
      <w:r w:rsidR="007C6FFA" w:rsidRPr="002A1FD1">
        <w:rPr>
          <w:rFonts w:ascii="Times New Roman" w:hAnsi="Times New Roman" w:cs="Times New Roman"/>
        </w:rPr>
        <w:t>hankija</w:t>
      </w:r>
      <w:proofErr w:type="spellEnd"/>
      <w:r w:rsidR="007C6FFA" w:rsidRPr="002A1FD1">
        <w:rPr>
          <w:rFonts w:ascii="Times New Roman" w:hAnsi="Times New Roman" w:cs="Times New Roman"/>
        </w:rPr>
        <w:t xml:space="preserve"> sõltumatu audiitorbüroo või akrediteeritud </w:t>
      </w:r>
      <w:proofErr w:type="spellStart"/>
      <w:r w:rsidR="007C6FFA" w:rsidRPr="002A1FD1">
        <w:rPr>
          <w:rFonts w:ascii="Times New Roman" w:hAnsi="Times New Roman" w:cs="Times New Roman"/>
        </w:rPr>
        <w:t>sertifitseerija</w:t>
      </w:r>
      <w:proofErr w:type="spellEnd"/>
      <w:r w:rsidR="007C6FFA" w:rsidRPr="002A1FD1">
        <w:rPr>
          <w:rFonts w:ascii="Times New Roman" w:hAnsi="Times New Roman" w:cs="Times New Roman"/>
        </w:rPr>
        <w:t xml:space="preserve"> kinnitust selle kohta, et pakkuja ettevõttes on ehitustööde tegevusvaldkonnas rakendatud kvaliteedijuhtimissüsteem, mis vastab vähemalt ISO 9001 standardis sätestatud tingimustele</w:t>
      </w:r>
      <w:r w:rsidR="002A1FD1">
        <w:rPr>
          <w:rFonts w:ascii="Times New Roman" w:hAnsi="Times New Roman" w:cs="Times New Roman"/>
        </w:rPr>
        <w:t xml:space="preserve">. </w:t>
      </w:r>
    </w:p>
    <w:p w14:paraId="1AFDC01D" w14:textId="7968EB3A" w:rsidR="00CE716B" w:rsidRPr="002A1FD1" w:rsidRDefault="003F0879" w:rsidP="002A1FD1">
      <w:pPr>
        <w:jc w:val="both"/>
        <w:rPr>
          <w:rFonts w:ascii="Times New Roman" w:hAnsi="Times New Roman" w:cs="Times New Roman"/>
        </w:rPr>
      </w:pPr>
      <w:r w:rsidRPr="002A1FD1">
        <w:rPr>
          <w:rFonts w:ascii="Times New Roman" w:hAnsi="Times New Roman" w:cs="Times New Roman"/>
          <w:b/>
        </w:rPr>
        <w:t>Selgitus</w:t>
      </w:r>
      <w:r w:rsidR="00735EBA">
        <w:rPr>
          <w:rFonts w:ascii="Times New Roman" w:hAnsi="Times New Roman" w:cs="Times New Roman"/>
          <w:b/>
        </w:rPr>
        <w:t xml:space="preserve"> toetuse saajale</w:t>
      </w:r>
      <w:r w:rsidRPr="002A1FD1">
        <w:rPr>
          <w:rFonts w:ascii="Times New Roman" w:hAnsi="Times New Roman" w:cs="Times New Roman"/>
          <w:b/>
        </w:rPr>
        <w:t>:</w:t>
      </w:r>
      <w:r w:rsidR="00751814">
        <w:rPr>
          <w:rFonts w:ascii="Times New Roman" w:hAnsi="Times New Roman" w:cs="Times New Roman"/>
          <w:b/>
        </w:rPr>
        <w:t xml:space="preserve"> </w:t>
      </w:r>
      <w:r w:rsidR="00751814">
        <w:rPr>
          <w:rFonts w:ascii="Times New Roman" w:hAnsi="Times New Roman" w:cs="Times New Roman"/>
        </w:rPr>
        <w:t>Punktis 3.3.1 nimetatud nõude sätestamisel arvestada, et a</w:t>
      </w:r>
      <w:r w:rsidR="00CE716B">
        <w:rPr>
          <w:rFonts w:ascii="Times New Roman" w:hAnsi="Times New Roman" w:cs="Times New Roman"/>
        </w:rPr>
        <w:t xml:space="preserve">krediteeritud kvaliteedijuhtimise sertifikaate uuendatakse ajas, sh lisandub turule ettevõtjaid, kes neid omavad. Juhul, kui toetuse saaja hanke maht (olenevalt rekonstrueerimistööde mahust) on väiksemahuline või rekonstrueeritav </w:t>
      </w:r>
      <w:proofErr w:type="spellStart"/>
      <w:r w:rsidR="00CE716B">
        <w:rPr>
          <w:rFonts w:ascii="Times New Roman" w:hAnsi="Times New Roman" w:cs="Times New Roman"/>
        </w:rPr>
        <w:t>korterelamu</w:t>
      </w:r>
      <w:proofErr w:type="spellEnd"/>
      <w:r w:rsidR="00CE716B">
        <w:rPr>
          <w:rFonts w:ascii="Times New Roman" w:hAnsi="Times New Roman" w:cs="Times New Roman"/>
        </w:rPr>
        <w:t xml:space="preserve"> asub keskusest väljas, võiks toetuse saaja täiendavalt kaaluda vastava kriteeriumi kasutamise vajadust, kuna mõistlikult võib eeldada, et antud tingimuse sätestamisel võib selline hange pakkujate puuduva huvi tõttu ebaõnnestuda.  </w:t>
      </w:r>
      <w:r w:rsidR="00FB6D29">
        <w:rPr>
          <w:rFonts w:ascii="Times New Roman" w:hAnsi="Times New Roman" w:cs="Times New Roman"/>
        </w:rPr>
        <w:t>Tingimus on nähtud toetuse saajatele ette kui võimalus, kuid seda ei ole kohustuslik kasutada.</w:t>
      </w:r>
      <w:r w:rsidR="00CE716B">
        <w:rPr>
          <w:rFonts w:ascii="Times New Roman" w:hAnsi="Times New Roman" w:cs="Times New Roman"/>
        </w:rPr>
        <w:t xml:space="preserve"> </w:t>
      </w:r>
    </w:p>
    <w:p w14:paraId="076302AE" w14:textId="067F8FE3" w:rsidR="0047736C" w:rsidRPr="002A1FD1" w:rsidRDefault="0047736C" w:rsidP="002A1FD1">
      <w:pPr>
        <w:jc w:val="both"/>
        <w:rPr>
          <w:rFonts w:ascii="Times New Roman" w:hAnsi="Times New Roman" w:cs="Times New Roman"/>
        </w:rPr>
      </w:pPr>
      <w:r w:rsidRPr="002A1FD1">
        <w:rPr>
          <w:rFonts w:ascii="Times New Roman" w:hAnsi="Times New Roman" w:cs="Times New Roman"/>
        </w:rPr>
        <w:t>3.3.2. Pakkuja peab esitama hanke käigus kohustuste täitmata jätmisega seotud kulude täieliku või osal</w:t>
      </w:r>
      <w:r w:rsidR="008D3D34">
        <w:rPr>
          <w:rFonts w:ascii="Times New Roman" w:hAnsi="Times New Roman" w:cs="Times New Roman"/>
        </w:rPr>
        <w:t xml:space="preserve">ise hüvitamise, sealhulgas </w:t>
      </w:r>
      <w:r w:rsidRPr="002A1FD1">
        <w:rPr>
          <w:rFonts w:ascii="Times New Roman" w:hAnsi="Times New Roman" w:cs="Times New Roman"/>
        </w:rPr>
        <w:t>lepingu sõlmimise tagamiseks</w:t>
      </w:r>
      <w:r w:rsidR="002A1FD1">
        <w:rPr>
          <w:rFonts w:ascii="Times New Roman" w:hAnsi="Times New Roman" w:cs="Times New Roman"/>
        </w:rPr>
        <w:t>,</w:t>
      </w:r>
      <w:r w:rsidRPr="002A1FD1">
        <w:rPr>
          <w:rFonts w:ascii="Times New Roman" w:hAnsi="Times New Roman" w:cs="Times New Roman"/>
        </w:rPr>
        <w:t xml:space="preserve"> pakkumuse tagatise summas x eurot</w:t>
      </w:r>
      <w:r w:rsidR="00CC3895">
        <w:rPr>
          <w:rStyle w:val="Allmrkuseviide"/>
          <w:rFonts w:ascii="Times New Roman" w:hAnsi="Times New Roman" w:cs="Times New Roman"/>
        </w:rPr>
        <w:footnoteReference w:id="2"/>
      </w:r>
      <w:r w:rsidRPr="002A1FD1">
        <w:rPr>
          <w:rFonts w:ascii="Times New Roman" w:hAnsi="Times New Roman" w:cs="Times New Roman"/>
        </w:rPr>
        <w:t xml:space="preserve">. Pakkuja esitab nõutud pakkumuse tagatise koos pakkumusega krediidi- või finantseerimisasutuse või kindlustusandja garantiina või rahasumma deponeerimisena </w:t>
      </w:r>
      <w:proofErr w:type="spellStart"/>
      <w:r w:rsidRPr="002A1FD1">
        <w:rPr>
          <w:rFonts w:ascii="Times New Roman" w:hAnsi="Times New Roman" w:cs="Times New Roman"/>
        </w:rPr>
        <w:t>hankija</w:t>
      </w:r>
      <w:proofErr w:type="spellEnd"/>
      <w:r w:rsidRPr="002A1FD1">
        <w:rPr>
          <w:rFonts w:ascii="Times New Roman" w:hAnsi="Times New Roman" w:cs="Times New Roman"/>
        </w:rPr>
        <w:t xml:space="preserve"> arvelduskontole hiljemalt pakkumuse esitamise tähtpäevaks. Pakkumuse tagatis peab olema jõus kuni pakkumuse jõusoleku tähtaja lõpuni. Juhul, kui pakkumus osutub edukaks, tuleb pakkujal hiljemalt 5 tööpäeva jooksul arvates </w:t>
      </w:r>
      <w:r w:rsidR="00D30C5F">
        <w:rPr>
          <w:rFonts w:ascii="Times New Roman" w:hAnsi="Times New Roman" w:cs="Times New Roman"/>
        </w:rPr>
        <w:t>edukaks tunnistamise otsuse saamisest</w:t>
      </w:r>
      <w:r w:rsidR="00974BA2" w:rsidRPr="002A1FD1">
        <w:rPr>
          <w:rFonts w:ascii="Times New Roman" w:hAnsi="Times New Roman" w:cs="Times New Roman"/>
        </w:rPr>
        <w:t xml:space="preserve"> esitada </w:t>
      </w:r>
      <w:proofErr w:type="spellStart"/>
      <w:r w:rsidR="00974BA2" w:rsidRPr="002A1FD1">
        <w:rPr>
          <w:rFonts w:ascii="Times New Roman" w:hAnsi="Times New Roman" w:cs="Times New Roman"/>
        </w:rPr>
        <w:t>hankijale</w:t>
      </w:r>
      <w:proofErr w:type="spellEnd"/>
      <w:r w:rsidR="00974BA2" w:rsidRPr="002A1FD1">
        <w:rPr>
          <w:rFonts w:ascii="Times New Roman" w:hAnsi="Times New Roman" w:cs="Times New Roman"/>
        </w:rPr>
        <w:t xml:space="preserve"> kinnitus pakkumuse tagatise jõusoleku aja kohta selliselt, et nimetatud tagatise jõusolek kestab kuni </w:t>
      </w:r>
      <w:r w:rsidR="002A1FD1">
        <w:rPr>
          <w:rFonts w:ascii="Times New Roman" w:hAnsi="Times New Roman" w:cs="Times New Roman"/>
        </w:rPr>
        <w:t xml:space="preserve">lepingu täitmise ja sellele järgneva </w:t>
      </w:r>
      <w:r w:rsidR="00974BA2" w:rsidRPr="002A1FD1">
        <w:rPr>
          <w:rFonts w:ascii="Times New Roman" w:hAnsi="Times New Roman" w:cs="Times New Roman"/>
        </w:rPr>
        <w:t xml:space="preserve">garantiiaja lõpuni või deponeerida vastav rahasumma (juhul, kui varasemalt on antud krediidi-või finantseerimisasutuse või kindlustusandja garantii) </w:t>
      </w:r>
      <w:proofErr w:type="spellStart"/>
      <w:r w:rsidR="00974BA2" w:rsidRPr="002A1FD1">
        <w:rPr>
          <w:rFonts w:ascii="Times New Roman" w:hAnsi="Times New Roman" w:cs="Times New Roman"/>
        </w:rPr>
        <w:t>hankija</w:t>
      </w:r>
      <w:proofErr w:type="spellEnd"/>
      <w:r w:rsidR="00974BA2" w:rsidRPr="002A1FD1">
        <w:rPr>
          <w:rFonts w:ascii="Times New Roman" w:hAnsi="Times New Roman" w:cs="Times New Roman"/>
        </w:rPr>
        <w:t xml:space="preserve"> arvelduskontole. </w:t>
      </w:r>
    </w:p>
    <w:p w14:paraId="2AA51600" w14:textId="14400AA8" w:rsidR="0047736C" w:rsidRPr="002A1FD1" w:rsidRDefault="0047736C" w:rsidP="002A1FD1">
      <w:pPr>
        <w:jc w:val="both"/>
        <w:rPr>
          <w:rFonts w:ascii="Times New Roman" w:hAnsi="Times New Roman" w:cs="Times New Roman"/>
        </w:rPr>
      </w:pPr>
      <w:r w:rsidRPr="002A1FD1">
        <w:rPr>
          <w:rFonts w:ascii="Times New Roman" w:hAnsi="Times New Roman" w:cs="Times New Roman"/>
          <w:b/>
        </w:rPr>
        <w:t>Selgitus</w:t>
      </w:r>
      <w:r w:rsidR="00735EBA">
        <w:rPr>
          <w:rFonts w:ascii="Times New Roman" w:hAnsi="Times New Roman" w:cs="Times New Roman"/>
          <w:b/>
        </w:rPr>
        <w:t xml:space="preserve"> toetuse saajale</w:t>
      </w:r>
      <w:r w:rsidRPr="002A1FD1">
        <w:rPr>
          <w:rFonts w:ascii="Times New Roman" w:hAnsi="Times New Roman" w:cs="Times New Roman"/>
          <w:b/>
        </w:rPr>
        <w:t>:</w:t>
      </w:r>
      <w:r w:rsidRPr="002A1FD1">
        <w:rPr>
          <w:rFonts w:ascii="Times New Roman" w:hAnsi="Times New Roman" w:cs="Times New Roman"/>
        </w:rPr>
        <w:t xml:space="preserve"> Juhul, kui pakkumuse tagatise realiseerim</w:t>
      </w:r>
      <w:r w:rsidR="002A1FD1">
        <w:rPr>
          <w:rFonts w:ascii="Times New Roman" w:hAnsi="Times New Roman" w:cs="Times New Roman"/>
        </w:rPr>
        <w:t xml:space="preserve">iseks </w:t>
      </w:r>
      <w:r w:rsidRPr="002A1FD1">
        <w:rPr>
          <w:rFonts w:ascii="Times New Roman" w:hAnsi="Times New Roman" w:cs="Times New Roman"/>
        </w:rPr>
        <w:t xml:space="preserve"> või tagastamata jätmise</w:t>
      </w:r>
      <w:r w:rsidR="00974BA2" w:rsidRPr="002A1FD1">
        <w:rPr>
          <w:rFonts w:ascii="Times New Roman" w:hAnsi="Times New Roman" w:cs="Times New Roman"/>
        </w:rPr>
        <w:t>ks</w:t>
      </w:r>
      <w:r w:rsidRPr="002A1FD1">
        <w:rPr>
          <w:rFonts w:ascii="Times New Roman" w:hAnsi="Times New Roman" w:cs="Times New Roman"/>
        </w:rPr>
        <w:t xml:space="preserve"> puuduvad alused, tagasta</w:t>
      </w:r>
      <w:r w:rsidR="00974BA2" w:rsidRPr="002A1FD1">
        <w:rPr>
          <w:rFonts w:ascii="Times New Roman" w:hAnsi="Times New Roman" w:cs="Times New Roman"/>
        </w:rPr>
        <w:t>b</w:t>
      </w:r>
      <w:r w:rsidRPr="002A1FD1">
        <w:rPr>
          <w:rFonts w:ascii="Times New Roman" w:hAnsi="Times New Roman" w:cs="Times New Roman"/>
        </w:rPr>
        <w:t xml:space="preserve"> </w:t>
      </w:r>
      <w:proofErr w:type="spellStart"/>
      <w:r w:rsidR="00974BA2" w:rsidRPr="002A1FD1">
        <w:rPr>
          <w:rFonts w:ascii="Times New Roman" w:hAnsi="Times New Roman" w:cs="Times New Roman"/>
        </w:rPr>
        <w:t>hankija</w:t>
      </w:r>
      <w:proofErr w:type="spellEnd"/>
      <w:r w:rsidR="00974BA2" w:rsidRPr="002A1FD1">
        <w:rPr>
          <w:rFonts w:ascii="Times New Roman" w:hAnsi="Times New Roman" w:cs="Times New Roman"/>
        </w:rPr>
        <w:t xml:space="preserve"> </w:t>
      </w:r>
      <w:r w:rsidRPr="002A1FD1">
        <w:rPr>
          <w:rFonts w:ascii="Times New Roman" w:hAnsi="Times New Roman" w:cs="Times New Roman"/>
        </w:rPr>
        <w:t xml:space="preserve">pakkujale pakkumuse tagatise hiljemalt 5 tööpäeva jooksul arvates hankes </w:t>
      </w:r>
      <w:r w:rsidR="008D3D34">
        <w:rPr>
          <w:rFonts w:ascii="Times New Roman" w:hAnsi="Times New Roman" w:cs="Times New Roman"/>
        </w:rPr>
        <w:t xml:space="preserve">edukaks osutunud pakkujaga </w:t>
      </w:r>
      <w:r w:rsidRPr="002A1FD1">
        <w:rPr>
          <w:rFonts w:ascii="Times New Roman" w:hAnsi="Times New Roman" w:cs="Times New Roman"/>
        </w:rPr>
        <w:t xml:space="preserve">lepingu sõlmimisest. </w:t>
      </w:r>
    </w:p>
    <w:p w14:paraId="35EB0A88" w14:textId="1B7BB252" w:rsidR="00F80893" w:rsidRDefault="00F80893" w:rsidP="002A1FD1">
      <w:pPr>
        <w:jc w:val="both"/>
        <w:rPr>
          <w:rFonts w:ascii="Times New Roman" w:hAnsi="Times New Roman" w:cs="Times New Roman"/>
          <w:b/>
          <w:u w:val="single"/>
        </w:rPr>
      </w:pPr>
    </w:p>
    <w:p w14:paraId="61834E45" w14:textId="2682F63A" w:rsidR="00534A91" w:rsidRPr="002A1FD1" w:rsidRDefault="002A1FD1" w:rsidP="002A1FD1">
      <w:pPr>
        <w:jc w:val="both"/>
        <w:rPr>
          <w:rFonts w:ascii="Times New Roman" w:hAnsi="Times New Roman" w:cs="Times New Roman"/>
          <w:b/>
          <w:u w:val="single"/>
        </w:rPr>
      </w:pPr>
      <w:r>
        <w:rPr>
          <w:rFonts w:ascii="Times New Roman" w:hAnsi="Times New Roman" w:cs="Times New Roman"/>
          <w:b/>
          <w:u w:val="single"/>
        </w:rPr>
        <w:t xml:space="preserve">3.4. </w:t>
      </w:r>
      <w:r w:rsidR="00534A91" w:rsidRPr="002A1FD1">
        <w:rPr>
          <w:rFonts w:ascii="Times New Roman" w:hAnsi="Times New Roman" w:cs="Times New Roman"/>
          <w:b/>
          <w:u w:val="single"/>
        </w:rPr>
        <w:t xml:space="preserve">Vastavustingimused </w:t>
      </w:r>
    </w:p>
    <w:p w14:paraId="1A6F55A8" w14:textId="3B7A9584" w:rsidR="00534A91" w:rsidRPr="002A1FD1" w:rsidRDefault="00534A91" w:rsidP="002A1FD1">
      <w:pPr>
        <w:jc w:val="both"/>
        <w:rPr>
          <w:rFonts w:ascii="Times New Roman" w:hAnsi="Times New Roman" w:cs="Times New Roman"/>
        </w:rPr>
      </w:pPr>
      <w:r w:rsidRPr="003E2E06">
        <w:rPr>
          <w:rFonts w:ascii="Times New Roman" w:hAnsi="Times New Roman" w:cs="Times New Roman"/>
        </w:rPr>
        <w:t xml:space="preserve">Hankemenetluses </w:t>
      </w:r>
      <w:r>
        <w:rPr>
          <w:rFonts w:ascii="Times New Roman" w:hAnsi="Times New Roman" w:cs="Times New Roman"/>
        </w:rPr>
        <w:t>peab pakkumus vastama järgnevale (kui ei vasta, siis ei tunnistata pakkumust v</w:t>
      </w:r>
      <w:r w:rsidR="002A1FD1">
        <w:rPr>
          <w:rFonts w:ascii="Times New Roman" w:hAnsi="Times New Roman" w:cs="Times New Roman"/>
        </w:rPr>
        <w:t xml:space="preserve">astavaks ning seda ei hinnata), kasutada tuleb kõiki alljärgnevaid vastavustingimusi: </w:t>
      </w:r>
    </w:p>
    <w:p w14:paraId="3C35D5E3" w14:textId="77777777" w:rsidR="00534A91" w:rsidRPr="003E2E06" w:rsidRDefault="00534A91" w:rsidP="002C1839">
      <w:pPr>
        <w:pStyle w:val="Loendilik"/>
        <w:numPr>
          <w:ilvl w:val="0"/>
          <w:numId w:val="7"/>
        </w:numPr>
        <w:spacing w:after="0" w:line="240" w:lineRule="auto"/>
        <w:contextualSpacing w:val="0"/>
        <w:jc w:val="both"/>
        <w:rPr>
          <w:rFonts w:ascii="Times New Roman" w:hAnsi="Times New Roman" w:cs="Times New Roman"/>
        </w:rPr>
      </w:pPr>
      <w:proofErr w:type="spellStart"/>
      <w:r w:rsidRPr="003E2E06">
        <w:rPr>
          <w:rFonts w:ascii="Times New Roman" w:hAnsi="Times New Roman" w:cs="Times New Roman"/>
        </w:rPr>
        <w:t>Ühispakkujate</w:t>
      </w:r>
      <w:proofErr w:type="spellEnd"/>
      <w:r w:rsidRPr="003E2E06">
        <w:rPr>
          <w:rFonts w:ascii="Times New Roman" w:hAnsi="Times New Roman" w:cs="Times New Roman"/>
        </w:rPr>
        <w:t xml:space="preserve"> volikiri- juhul kui esitatakse </w:t>
      </w:r>
      <w:proofErr w:type="spellStart"/>
      <w:r w:rsidRPr="003E2E06">
        <w:rPr>
          <w:rFonts w:ascii="Times New Roman" w:hAnsi="Times New Roman" w:cs="Times New Roman"/>
        </w:rPr>
        <w:t>ühispakkumus</w:t>
      </w:r>
      <w:proofErr w:type="spellEnd"/>
      <w:r w:rsidRPr="003E2E06">
        <w:rPr>
          <w:rFonts w:ascii="Times New Roman" w:hAnsi="Times New Roman" w:cs="Times New Roman"/>
        </w:rPr>
        <w:t xml:space="preserve">; </w:t>
      </w:r>
    </w:p>
    <w:p w14:paraId="785B46B8" w14:textId="61460D9E" w:rsidR="00534A91" w:rsidRPr="003E2E06" w:rsidRDefault="00534A91" w:rsidP="002C1839">
      <w:pPr>
        <w:pStyle w:val="Loendilik"/>
        <w:numPr>
          <w:ilvl w:val="0"/>
          <w:numId w:val="7"/>
        </w:numPr>
        <w:spacing w:after="0" w:line="240" w:lineRule="auto"/>
        <w:contextualSpacing w:val="0"/>
        <w:jc w:val="both"/>
        <w:rPr>
          <w:rFonts w:ascii="Times New Roman" w:hAnsi="Times New Roman" w:cs="Times New Roman"/>
        </w:rPr>
      </w:pPr>
      <w:r w:rsidRPr="003E2E06">
        <w:rPr>
          <w:rFonts w:ascii="Times New Roman" w:hAnsi="Times New Roman" w:cs="Times New Roman"/>
        </w:rPr>
        <w:t xml:space="preserve">Pakkumuse maksumus- tuleb esitada vastavalt </w:t>
      </w:r>
      <w:r w:rsidR="00501FBE">
        <w:rPr>
          <w:rFonts w:ascii="Times New Roman" w:hAnsi="Times New Roman" w:cs="Times New Roman"/>
        </w:rPr>
        <w:t xml:space="preserve">toetuse saaja hanke </w:t>
      </w:r>
      <w:r w:rsidRPr="003E2E06">
        <w:rPr>
          <w:rFonts w:ascii="Times New Roman" w:hAnsi="Times New Roman" w:cs="Times New Roman"/>
        </w:rPr>
        <w:t xml:space="preserve">dokumentides toodule tervikmaksumusena. Tingimusliku pakkumuse esitamine ei ole lubatud; </w:t>
      </w:r>
    </w:p>
    <w:p w14:paraId="60B4F834" w14:textId="77777777" w:rsidR="00534A91" w:rsidRPr="003E2E06" w:rsidRDefault="00534A91" w:rsidP="002C1839">
      <w:pPr>
        <w:pStyle w:val="Loendilik"/>
        <w:numPr>
          <w:ilvl w:val="0"/>
          <w:numId w:val="7"/>
        </w:numPr>
        <w:spacing w:after="0" w:line="240" w:lineRule="auto"/>
        <w:contextualSpacing w:val="0"/>
        <w:jc w:val="both"/>
        <w:rPr>
          <w:rFonts w:ascii="Times New Roman" w:hAnsi="Times New Roman" w:cs="Times New Roman"/>
        </w:rPr>
      </w:pPr>
      <w:r w:rsidRPr="003E2E06">
        <w:rPr>
          <w:rFonts w:ascii="Times New Roman" w:hAnsi="Times New Roman" w:cs="Times New Roman"/>
        </w:rPr>
        <w:t>Ärisaladus- pakkuja märgib pakkumuses, milli</w:t>
      </w:r>
      <w:r>
        <w:rPr>
          <w:rFonts w:ascii="Times New Roman" w:hAnsi="Times New Roman" w:cs="Times New Roman"/>
        </w:rPr>
        <w:t>ne teave on pakkuja ärisaladus</w:t>
      </w:r>
      <w:r w:rsidRPr="003E2E06">
        <w:rPr>
          <w:rFonts w:ascii="Times New Roman" w:hAnsi="Times New Roman" w:cs="Times New Roman"/>
        </w:rPr>
        <w:t xml:space="preserve"> ning põhjendab, miks on teave vajalik määrata ärisaladuseks; </w:t>
      </w:r>
    </w:p>
    <w:p w14:paraId="19A2CA5F" w14:textId="77CDA0D2" w:rsidR="00534A91" w:rsidRDefault="00534A91" w:rsidP="002C1839">
      <w:pPr>
        <w:pStyle w:val="Loendilik"/>
        <w:numPr>
          <w:ilvl w:val="0"/>
          <w:numId w:val="7"/>
        </w:numPr>
        <w:spacing w:after="0" w:line="240" w:lineRule="auto"/>
        <w:contextualSpacing w:val="0"/>
        <w:jc w:val="both"/>
        <w:rPr>
          <w:rFonts w:ascii="Times New Roman" w:hAnsi="Times New Roman" w:cs="Times New Roman"/>
        </w:rPr>
      </w:pPr>
      <w:r w:rsidRPr="003E2E06">
        <w:rPr>
          <w:rFonts w:ascii="Times New Roman" w:hAnsi="Times New Roman" w:cs="Times New Roman"/>
        </w:rPr>
        <w:t xml:space="preserve">Pakkumuse esitamine- pakkumuse esitamisega kinnitab pakkuja kõigi </w:t>
      </w:r>
      <w:r w:rsidR="00501FBE">
        <w:rPr>
          <w:rFonts w:ascii="Times New Roman" w:hAnsi="Times New Roman" w:cs="Times New Roman"/>
        </w:rPr>
        <w:t xml:space="preserve">toetuse saaja hanke </w:t>
      </w:r>
      <w:r w:rsidRPr="003E2E06">
        <w:rPr>
          <w:rFonts w:ascii="Times New Roman" w:hAnsi="Times New Roman" w:cs="Times New Roman"/>
        </w:rPr>
        <w:t xml:space="preserve">dokumentides esitatud tingimuste </w:t>
      </w:r>
      <w:proofErr w:type="spellStart"/>
      <w:r w:rsidRPr="003E2E06">
        <w:rPr>
          <w:rFonts w:ascii="Times New Roman" w:hAnsi="Times New Roman" w:cs="Times New Roman"/>
        </w:rPr>
        <w:t>ülevõtmist</w:t>
      </w:r>
      <w:proofErr w:type="spellEnd"/>
      <w:r w:rsidR="00F32849">
        <w:rPr>
          <w:rFonts w:ascii="Times New Roman" w:hAnsi="Times New Roman" w:cs="Times New Roman"/>
        </w:rPr>
        <w:t>, vastav kinnitus antakse pakkumusega koos toetuse saaja hanke hankepassis, m</w:t>
      </w:r>
      <w:r w:rsidR="00501FBE">
        <w:rPr>
          <w:rFonts w:ascii="Times New Roman" w:hAnsi="Times New Roman" w:cs="Times New Roman"/>
        </w:rPr>
        <w:t xml:space="preserve">ille vorm </w:t>
      </w:r>
      <w:bookmarkStart w:id="0" w:name="_GoBack"/>
      <w:bookmarkEnd w:id="0"/>
      <w:r w:rsidR="00501FBE">
        <w:rPr>
          <w:rFonts w:ascii="Times New Roman" w:hAnsi="Times New Roman" w:cs="Times New Roman"/>
        </w:rPr>
        <w:t xml:space="preserve">on lisatud </w:t>
      </w:r>
      <w:r w:rsidR="00F32849">
        <w:rPr>
          <w:rFonts w:ascii="Times New Roman" w:hAnsi="Times New Roman" w:cs="Times New Roman"/>
        </w:rPr>
        <w:t>dokumentide juurde</w:t>
      </w:r>
      <w:r w:rsidRPr="003E2E06">
        <w:rPr>
          <w:rFonts w:ascii="Times New Roman" w:hAnsi="Times New Roman" w:cs="Times New Roman"/>
        </w:rPr>
        <w:t xml:space="preserve">. </w:t>
      </w:r>
    </w:p>
    <w:p w14:paraId="153A4C12" w14:textId="77777777" w:rsidR="00534A91" w:rsidRPr="003E2E06" w:rsidRDefault="00534A91" w:rsidP="00534A91">
      <w:pPr>
        <w:pStyle w:val="Loendilik"/>
        <w:spacing w:after="0" w:line="240" w:lineRule="auto"/>
        <w:ind w:left="1080"/>
        <w:contextualSpacing w:val="0"/>
        <w:rPr>
          <w:rFonts w:ascii="Times New Roman" w:hAnsi="Times New Roman" w:cs="Times New Roman"/>
        </w:rPr>
      </w:pPr>
    </w:p>
    <w:p w14:paraId="788512CC" w14:textId="4149DC18" w:rsidR="00534A91" w:rsidRPr="003E2E06" w:rsidRDefault="00534A91" w:rsidP="002A1FD1">
      <w:pPr>
        <w:jc w:val="both"/>
        <w:rPr>
          <w:rFonts w:ascii="Times New Roman" w:hAnsi="Times New Roman" w:cs="Times New Roman"/>
        </w:rPr>
      </w:pPr>
      <w:r>
        <w:rPr>
          <w:rFonts w:ascii="Times New Roman" w:hAnsi="Times New Roman" w:cs="Times New Roman"/>
        </w:rPr>
        <w:t xml:space="preserve">NB! </w:t>
      </w:r>
      <w:r w:rsidRPr="003E2E06">
        <w:rPr>
          <w:rFonts w:ascii="Times New Roman" w:hAnsi="Times New Roman" w:cs="Times New Roman"/>
        </w:rPr>
        <w:t xml:space="preserve">Juhul, kui toetuse saaja </w:t>
      </w:r>
      <w:proofErr w:type="spellStart"/>
      <w:r w:rsidRPr="003E2E06">
        <w:rPr>
          <w:rFonts w:ascii="Times New Roman" w:hAnsi="Times New Roman" w:cs="Times New Roman"/>
        </w:rPr>
        <w:t>korterelamu</w:t>
      </w:r>
      <w:proofErr w:type="spellEnd"/>
      <w:r w:rsidRPr="003E2E06">
        <w:rPr>
          <w:rFonts w:ascii="Times New Roman" w:hAnsi="Times New Roman" w:cs="Times New Roman"/>
        </w:rPr>
        <w:t xml:space="preserve"> rekonstrueerimisel on</w:t>
      </w:r>
      <w:r>
        <w:rPr>
          <w:rFonts w:ascii="Times New Roman" w:hAnsi="Times New Roman" w:cs="Times New Roman"/>
        </w:rPr>
        <w:t xml:space="preserve"> ehitusprojektis</w:t>
      </w:r>
      <w:r w:rsidRPr="003E2E06">
        <w:rPr>
          <w:rFonts w:ascii="Times New Roman" w:hAnsi="Times New Roman" w:cs="Times New Roman"/>
        </w:rPr>
        <w:t xml:space="preserve"> nähtud ette tehases eeltoodetud panee</w:t>
      </w:r>
      <w:r w:rsidR="00343793">
        <w:rPr>
          <w:rFonts w:ascii="Times New Roman" w:hAnsi="Times New Roman" w:cs="Times New Roman"/>
        </w:rPr>
        <w:t xml:space="preserve">lide kasutamine, tuleb </w:t>
      </w:r>
      <w:r w:rsidRPr="003E2E06">
        <w:rPr>
          <w:rFonts w:ascii="Times New Roman" w:hAnsi="Times New Roman" w:cs="Times New Roman"/>
        </w:rPr>
        <w:t>vastavustingimusena kasutada</w:t>
      </w:r>
      <w:r w:rsidR="00343793">
        <w:rPr>
          <w:rFonts w:ascii="Times New Roman" w:hAnsi="Times New Roman" w:cs="Times New Roman"/>
        </w:rPr>
        <w:t xml:space="preserve"> ka</w:t>
      </w:r>
      <w:r w:rsidRPr="003E2E06">
        <w:rPr>
          <w:rFonts w:ascii="Times New Roman" w:hAnsi="Times New Roman" w:cs="Times New Roman"/>
        </w:rPr>
        <w:t xml:space="preserve"> järgnevat tingimust: </w:t>
      </w:r>
    </w:p>
    <w:p w14:paraId="1BFBD704" w14:textId="7C4E8352" w:rsidR="00534A91" w:rsidRPr="002A1FD1" w:rsidRDefault="00534A91" w:rsidP="002A1FD1">
      <w:pPr>
        <w:pStyle w:val="Loendilik"/>
        <w:numPr>
          <w:ilvl w:val="0"/>
          <w:numId w:val="7"/>
        </w:numPr>
        <w:spacing w:after="0" w:line="240" w:lineRule="auto"/>
        <w:jc w:val="both"/>
        <w:rPr>
          <w:rFonts w:ascii="Times New Roman" w:hAnsi="Times New Roman" w:cs="Times New Roman"/>
        </w:rPr>
      </w:pPr>
      <w:r w:rsidRPr="002A1FD1">
        <w:rPr>
          <w:rFonts w:ascii="Times New Roman" w:hAnsi="Times New Roman" w:cs="Times New Roman"/>
        </w:rPr>
        <w:t xml:space="preserve">Eeltoodetud paneelide tootja kirjalik kinnitus, et pakkuja pakkumuse edukaks tunnistamise korral, tagab tootja hanke objektiks oleva </w:t>
      </w:r>
      <w:proofErr w:type="spellStart"/>
      <w:r w:rsidRPr="002A1FD1">
        <w:rPr>
          <w:rFonts w:ascii="Times New Roman" w:hAnsi="Times New Roman" w:cs="Times New Roman"/>
        </w:rPr>
        <w:t>korterelamu</w:t>
      </w:r>
      <w:proofErr w:type="spellEnd"/>
      <w:r w:rsidRPr="002A1FD1">
        <w:rPr>
          <w:rFonts w:ascii="Times New Roman" w:hAnsi="Times New Roman" w:cs="Times New Roman"/>
        </w:rPr>
        <w:t xml:space="preserve"> rekonstrueerimisel vastavad </w:t>
      </w:r>
      <w:r w:rsidRPr="002A1FD1">
        <w:rPr>
          <w:rFonts w:ascii="Times New Roman" w:hAnsi="Times New Roman" w:cs="Times New Roman"/>
        </w:rPr>
        <w:lastRenderedPageBreak/>
        <w:t>eelt</w:t>
      </w:r>
      <w:r w:rsidR="00091D78">
        <w:rPr>
          <w:rFonts w:ascii="Times New Roman" w:hAnsi="Times New Roman" w:cs="Times New Roman"/>
        </w:rPr>
        <w:t xml:space="preserve">oodetud paneelid, osaledes </w:t>
      </w:r>
      <w:r w:rsidRPr="002A1FD1">
        <w:rPr>
          <w:rFonts w:ascii="Times New Roman" w:hAnsi="Times New Roman" w:cs="Times New Roman"/>
        </w:rPr>
        <w:t xml:space="preserve">lepingu täitmisel </w:t>
      </w:r>
      <w:proofErr w:type="spellStart"/>
      <w:r w:rsidRPr="002A1FD1">
        <w:rPr>
          <w:rFonts w:ascii="Times New Roman" w:hAnsi="Times New Roman" w:cs="Times New Roman"/>
        </w:rPr>
        <w:t>alltöövõtjana</w:t>
      </w:r>
      <w:proofErr w:type="spellEnd"/>
      <w:r w:rsidRPr="002A1FD1">
        <w:rPr>
          <w:rFonts w:ascii="Times New Roman" w:hAnsi="Times New Roman" w:cs="Times New Roman"/>
        </w:rPr>
        <w:t xml:space="preserve">. Kirjaliku kinnituse andmiseks õigustatud tootja peab olema viimase 60 kuu jooksul enne hanketeate avaldamist olema tootnud vähemalt kolmele hanke objektiks oleva korterelamuga sama suurele või suuremale hoonele või uuele ehitisele vastavad elemendid ning peab omama viimasel kolmel kalendriaastal kokku enne hanketeate avaldamist käivet summas, mis on vähemalt kahekordne hanke objektiks oleva </w:t>
      </w:r>
      <w:proofErr w:type="spellStart"/>
      <w:r w:rsidRPr="002A1FD1">
        <w:rPr>
          <w:rFonts w:ascii="Times New Roman" w:hAnsi="Times New Roman" w:cs="Times New Roman"/>
        </w:rPr>
        <w:t>korterelamu</w:t>
      </w:r>
      <w:proofErr w:type="spellEnd"/>
      <w:r w:rsidRPr="002A1FD1">
        <w:rPr>
          <w:rFonts w:ascii="Times New Roman" w:hAnsi="Times New Roman" w:cs="Times New Roman"/>
        </w:rPr>
        <w:t xml:space="preserve"> eeldatav rekonstrueerimise maksumus. </w:t>
      </w:r>
    </w:p>
    <w:p w14:paraId="1773C623" w14:textId="77777777" w:rsidR="00534A91" w:rsidRPr="00534A91" w:rsidRDefault="00534A91" w:rsidP="00534A91">
      <w:pPr>
        <w:pStyle w:val="Loendilik"/>
        <w:spacing w:after="0" w:line="240" w:lineRule="auto"/>
        <w:ind w:left="1080"/>
        <w:contextualSpacing w:val="0"/>
        <w:jc w:val="both"/>
        <w:rPr>
          <w:rFonts w:ascii="Times New Roman" w:hAnsi="Times New Roman" w:cs="Times New Roman"/>
        </w:rPr>
      </w:pPr>
    </w:p>
    <w:p w14:paraId="6A056BDC" w14:textId="77777777" w:rsidR="00534A91" w:rsidRPr="00361F55" w:rsidRDefault="00534A91" w:rsidP="00F02217">
      <w:pPr>
        <w:pStyle w:val="Loendilik"/>
        <w:jc w:val="both"/>
        <w:rPr>
          <w:rFonts w:ascii="Times New Roman" w:hAnsi="Times New Roman" w:cs="Times New Roman"/>
          <w:color w:val="FF0000"/>
        </w:rPr>
      </w:pPr>
    </w:p>
    <w:p w14:paraId="476B5BD1" w14:textId="4C051666" w:rsidR="00F02217" w:rsidRPr="002A1FD1" w:rsidRDefault="00F02217" w:rsidP="002A1FD1">
      <w:pPr>
        <w:pStyle w:val="Loendilik"/>
        <w:numPr>
          <w:ilvl w:val="1"/>
          <w:numId w:val="17"/>
        </w:numPr>
        <w:rPr>
          <w:rFonts w:ascii="Times New Roman" w:hAnsi="Times New Roman" w:cs="Times New Roman"/>
          <w:b/>
          <w:u w:val="single"/>
        </w:rPr>
      </w:pPr>
      <w:r w:rsidRPr="002A1FD1">
        <w:rPr>
          <w:rFonts w:ascii="Times New Roman" w:hAnsi="Times New Roman" w:cs="Times New Roman"/>
          <w:b/>
          <w:u w:val="single"/>
        </w:rPr>
        <w:t>Hindamiskriteeriumid</w:t>
      </w:r>
      <w:r w:rsidRPr="00287CF1">
        <w:rPr>
          <w:rStyle w:val="Allmrkuseviide"/>
          <w:rFonts w:ascii="Times New Roman" w:hAnsi="Times New Roman" w:cs="Times New Roman"/>
          <w:b/>
          <w:u w:val="single"/>
        </w:rPr>
        <w:footnoteReference w:id="3"/>
      </w:r>
      <w:r w:rsidRPr="002A1FD1">
        <w:rPr>
          <w:rFonts w:ascii="Times New Roman" w:hAnsi="Times New Roman" w:cs="Times New Roman"/>
          <w:b/>
          <w:u w:val="single"/>
        </w:rPr>
        <w:t xml:space="preserve"> </w:t>
      </w:r>
    </w:p>
    <w:p w14:paraId="2A1C5B56" w14:textId="77777777" w:rsidR="00F4307F" w:rsidRPr="00361F55" w:rsidRDefault="00F4307F" w:rsidP="00F4307F">
      <w:pPr>
        <w:pStyle w:val="Loendilik"/>
        <w:rPr>
          <w:rFonts w:ascii="Times New Roman" w:hAnsi="Times New Roman" w:cs="Times New Roman"/>
          <w:b/>
        </w:rPr>
      </w:pPr>
    </w:p>
    <w:p w14:paraId="58EAC1C3" w14:textId="12A6E1F1" w:rsidR="002A1FD1" w:rsidRPr="002A1FD1" w:rsidRDefault="006456BD" w:rsidP="002A1FD1">
      <w:pPr>
        <w:pStyle w:val="Loendilik"/>
        <w:numPr>
          <w:ilvl w:val="2"/>
          <w:numId w:val="17"/>
        </w:numPr>
        <w:jc w:val="both"/>
        <w:rPr>
          <w:rFonts w:ascii="Times New Roman" w:hAnsi="Times New Roman" w:cs="Times New Roman"/>
        </w:rPr>
      </w:pPr>
      <w:r w:rsidRPr="002A1FD1">
        <w:rPr>
          <w:rFonts w:ascii="Times New Roman" w:hAnsi="Times New Roman" w:cs="Times New Roman"/>
        </w:rPr>
        <w:t>Pakk</w:t>
      </w:r>
      <w:r w:rsidR="00CF35ED" w:rsidRPr="002A1FD1">
        <w:rPr>
          <w:rFonts w:ascii="Times New Roman" w:hAnsi="Times New Roman" w:cs="Times New Roman"/>
        </w:rPr>
        <w:t xml:space="preserve">umuse maksumus – minimaalselt </w:t>
      </w:r>
      <w:r w:rsidR="00CD0EE5">
        <w:rPr>
          <w:rFonts w:ascii="Times New Roman" w:hAnsi="Times New Roman" w:cs="Times New Roman"/>
        </w:rPr>
        <w:t>90</w:t>
      </w:r>
      <w:r w:rsidRPr="002A1FD1">
        <w:rPr>
          <w:rFonts w:ascii="Times New Roman" w:hAnsi="Times New Roman" w:cs="Times New Roman"/>
        </w:rPr>
        <w:t>%</w:t>
      </w:r>
      <w:r w:rsidR="009424EE" w:rsidRPr="002A1FD1">
        <w:rPr>
          <w:rFonts w:ascii="Times New Roman" w:hAnsi="Times New Roman" w:cs="Times New Roman"/>
        </w:rPr>
        <w:t xml:space="preserve"> osakaalust</w:t>
      </w:r>
      <w:r w:rsidRPr="002A1FD1">
        <w:rPr>
          <w:rFonts w:ascii="Times New Roman" w:hAnsi="Times New Roman" w:cs="Times New Roman"/>
        </w:rPr>
        <w:t xml:space="preserve">. Võib hinnata ka ainult pakkumuse maksumust, sellisel juhul on pakkumuse maksumuse osakaal 100%. </w:t>
      </w:r>
      <w:r w:rsidR="007957E8" w:rsidRPr="002A1FD1">
        <w:rPr>
          <w:rFonts w:ascii="Times New Roman" w:hAnsi="Times New Roman" w:cs="Times New Roman"/>
        </w:rPr>
        <w:t>Maksumus</w:t>
      </w:r>
      <w:r w:rsidR="00490260" w:rsidRPr="002A1FD1">
        <w:rPr>
          <w:rFonts w:ascii="Times New Roman" w:hAnsi="Times New Roman" w:cs="Times New Roman"/>
        </w:rPr>
        <w:t xml:space="preserve">se </w:t>
      </w:r>
      <w:r w:rsidR="00A97A29" w:rsidRPr="002A1FD1">
        <w:rPr>
          <w:rFonts w:ascii="Times New Roman" w:hAnsi="Times New Roman" w:cs="Times New Roman"/>
        </w:rPr>
        <w:t>võib arvestada</w:t>
      </w:r>
      <w:r w:rsidR="00490260" w:rsidRPr="002A1FD1">
        <w:rPr>
          <w:rFonts w:ascii="Times New Roman" w:hAnsi="Times New Roman" w:cs="Times New Roman"/>
        </w:rPr>
        <w:t xml:space="preserve"> ka </w:t>
      </w:r>
      <w:r w:rsidR="007957E8" w:rsidRPr="002A1FD1">
        <w:rPr>
          <w:rFonts w:ascii="Times New Roman" w:hAnsi="Times New Roman" w:cs="Times New Roman"/>
        </w:rPr>
        <w:t>Tellija reserv</w:t>
      </w:r>
      <w:r w:rsidR="00A97A29" w:rsidRPr="002A1FD1">
        <w:rPr>
          <w:rFonts w:ascii="Times New Roman" w:hAnsi="Times New Roman" w:cs="Times New Roman"/>
        </w:rPr>
        <w:t>i</w:t>
      </w:r>
      <w:r w:rsidR="00916FE7" w:rsidRPr="002A1FD1">
        <w:rPr>
          <w:rFonts w:ascii="Times New Roman" w:hAnsi="Times New Roman" w:cs="Times New Roman"/>
        </w:rPr>
        <w:t>, mis võib olla</w:t>
      </w:r>
      <w:r w:rsidR="007957E8" w:rsidRPr="002A1FD1">
        <w:rPr>
          <w:rFonts w:ascii="Times New Roman" w:hAnsi="Times New Roman" w:cs="Times New Roman"/>
        </w:rPr>
        <w:t xml:space="preserve"> </w:t>
      </w:r>
      <w:r w:rsidR="0058729F" w:rsidRPr="002A1FD1">
        <w:rPr>
          <w:rFonts w:ascii="Times New Roman" w:hAnsi="Times New Roman" w:cs="Times New Roman"/>
        </w:rPr>
        <w:t>kuni 1</w:t>
      </w:r>
      <w:r w:rsidR="007957E8" w:rsidRPr="002A1FD1">
        <w:rPr>
          <w:rFonts w:ascii="Times New Roman" w:hAnsi="Times New Roman" w:cs="Times New Roman"/>
        </w:rPr>
        <w:t>5%</w:t>
      </w:r>
      <w:r w:rsidR="00916FE7" w:rsidRPr="002A1FD1">
        <w:rPr>
          <w:rFonts w:ascii="Times New Roman" w:hAnsi="Times New Roman" w:cs="Times New Roman"/>
        </w:rPr>
        <w:t xml:space="preserve"> ehitustööde maksumusest</w:t>
      </w:r>
      <w:r w:rsidR="007957E8" w:rsidRPr="002A1FD1">
        <w:rPr>
          <w:rFonts w:ascii="Times New Roman" w:hAnsi="Times New Roman" w:cs="Times New Roman"/>
        </w:rPr>
        <w:t xml:space="preserve">. </w:t>
      </w:r>
      <w:r w:rsidRPr="002A1FD1">
        <w:rPr>
          <w:rFonts w:ascii="Times New Roman" w:hAnsi="Times New Roman" w:cs="Times New Roman"/>
        </w:rPr>
        <w:t>Maksumuse hindamine ja kõrgeima punktisumma saava pakkuja väljaselgitamine toimub järgneva metoodika alusel: madalaima maksumusega pakkumus saab maksima</w:t>
      </w:r>
      <w:r w:rsidR="0045144B" w:rsidRPr="002A1FD1">
        <w:rPr>
          <w:rFonts w:ascii="Times New Roman" w:hAnsi="Times New Roman" w:cs="Times New Roman"/>
        </w:rPr>
        <w:t>alse arvu punkte. Teised pakkumu</w:t>
      </w:r>
      <w:r w:rsidRPr="002A1FD1">
        <w:rPr>
          <w:rFonts w:ascii="Times New Roman" w:hAnsi="Times New Roman" w:cs="Times New Roman"/>
        </w:rPr>
        <w:t xml:space="preserve">sed saavad punkte proportsionaalselt vähem ja arvutatakse valemiga: „madalaim väärtus“ / „pakkumuse väärtus“ * osakaal. </w:t>
      </w:r>
    </w:p>
    <w:p w14:paraId="0C38C1D5" w14:textId="77777777" w:rsidR="002A1FD1" w:rsidRDefault="002A1FD1" w:rsidP="002A1FD1">
      <w:pPr>
        <w:pStyle w:val="Loendilik"/>
        <w:ind w:left="864"/>
        <w:jc w:val="both"/>
        <w:rPr>
          <w:rFonts w:ascii="Times New Roman" w:hAnsi="Times New Roman" w:cs="Times New Roman"/>
        </w:rPr>
      </w:pPr>
    </w:p>
    <w:p w14:paraId="76E2FFAC" w14:textId="6F341612" w:rsidR="001F4424" w:rsidRPr="002A1FD1" w:rsidRDefault="00A00AB2" w:rsidP="002A1FD1">
      <w:pPr>
        <w:pStyle w:val="Loendilik"/>
        <w:numPr>
          <w:ilvl w:val="2"/>
          <w:numId w:val="17"/>
        </w:numPr>
        <w:jc w:val="both"/>
        <w:rPr>
          <w:rFonts w:ascii="Times New Roman" w:hAnsi="Times New Roman" w:cs="Times New Roman"/>
        </w:rPr>
      </w:pPr>
      <w:r w:rsidRPr="002A1FD1">
        <w:rPr>
          <w:rFonts w:ascii="Times New Roman" w:hAnsi="Times New Roman" w:cs="Times New Roman"/>
        </w:rPr>
        <w:t xml:space="preserve">Ehitustööde korraldamise </w:t>
      </w:r>
      <w:r w:rsidR="006456BD" w:rsidRPr="002A1FD1">
        <w:rPr>
          <w:rFonts w:ascii="Times New Roman" w:hAnsi="Times New Roman" w:cs="Times New Roman"/>
        </w:rPr>
        <w:t>kava- maksimaalselt 10</w:t>
      </w:r>
      <w:r w:rsidRPr="002A1FD1">
        <w:rPr>
          <w:rFonts w:ascii="Times New Roman" w:hAnsi="Times New Roman" w:cs="Times New Roman"/>
        </w:rPr>
        <w:t xml:space="preserve">% osakaalust. Ehitustööde </w:t>
      </w:r>
      <w:r w:rsidR="009424EE" w:rsidRPr="002A1FD1">
        <w:rPr>
          <w:rFonts w:ascii="Times New Roman" w:hAnsi="Times New Roman" w:cs="Times New Roman"/>
        </w:rPr>
        <w:t>kava hin</w:t>
      </w:r>
      <w:r w:rsidR="006035F6" w:rsidRPr="002A1FD1">
        <w:rPr>
          <w:rFonts w:ascii="Times New Roman" w:hAnsi="Times New Roman" w:cs="Times New Roman"/>
        </w:rPr>
        <w:t xml:space="preserve">damiseks </w:t>
      </w:r>
      <w:r w:rsidR="009424EE" w:rsidRPr="002A1FD1">
        <w:rPr>
          <w:rFonts w:ascii="Times New Roman" w:hAnsi="Times New Roman" w:cs="Times New Roman"/>
        </w:rPr>
        <w:t xml:space="preserve"> tuleb</w:t>
      </w:r>
      <w:r w:rsidR="006035F6" w:rsidRPr="002A1FD1">
        <w:rPr>
          <w:rFonts w:ascii="Times New Roman" w:hAnsi="Times New Roman" w:cs="Times New Roman"/>
        </w:rPr>
        <w:t xml:space="preserve"> pakkujal</w:t>
      </w:r>
      <w:r w:rsidR="009424EE" w:rsidRPr="002A1FD1">
        <w:rPr>
          <w:rFonts w:ascii="Times New Roman" w:hAnsi="Times New Roman" w:cs="Times New Roman"/>
        </w:rPr>
        <w:t xml:space="preserve"> selgelt </w:t>
      </w:r>
      <w:r w:rsidR="00751814">
        <w:rPr>
          <w:rFonts w:ascii="Times New Roman" w:hAnsi="Times New Roman" w:cs="Times New Roman"/>
        </w:rPr>
        <w:t xml:space="preserve">dokumentides </w:t>
      </w:r>
      <w:r w:rsidR="009424EE" w:rsidRPr="002A1FD1">
        <w:rPr>
          <w:rFonts w:ascii="Times New Roman" w:hAnsi="Times New Roman" w:cs="Times New Roman"/>
        </w:rPr>
        <w:t>lahti kirjutada, et ehitustööde teostamise aeg tuleb sisestada täiskuudes alates lepingu sõlmimisest.</w:t>
      </w:r>
      <w:r w:rsidR="00EB30B4" w:rsidRPr="002A1FD1">
        <w:rPr>
          <w:rFonts w:ascii="Times New Roman" w:hAnsi="Times New Roman" w:cs="Times New Roman"/>
        </w:rPr>
        <w:t xml:space="preserve"> </w:t>
      </w:r>
      <w:r w:rsidR="009424EE" w:rsidRPr="002A1FD1">
        <w:rPr>
          <w:rFonts w:ascii="Times New Roman" w:hAnsi="Times New Roman" w:cs="Times New Roman"/>
        </w:rPr>
        <w:t xml:space="preserve">Tehnilises kirjelduses toodud maksimaalsest ehitustööde teostamise ajast pikemat perioodi pakkuda ei tohi. </w:t>
      </w:r>
      <w:r w:rsidR="00BA13DF" w:rsidRPr="002A1FD1">
        <w:rPr>
          <w:rFonts w:ascii="Times New Roman" w:hAnsi="Times New Roman" w:cs="Times New Roman"/>
        </w:rPr>
        <w:t>Eduka pakkuja pakutud ajakava ning muud toetatava projekti elluviimist puudutavad asj</w:t>
      </w:r>
      <w:r w:rsidR="00091D78">
        <w:rPr>
          <w:rFonts w:ascii="Times New Roman" w:hAnsi="Times New Roman" w:cs="Times New Roman"/>
        </w:rPr>
        <w:t xml:space="preserve">aolud peavad kajastuma ka </w:t>
      </w:r>
      <w:r w:rsidR="00BA13DF" w:rsidRPr="002A1FD1">
        <w:rPr>
          <w:rFonts w:ascii="Times New Roman" w:hAnsi="Times New Roman" w:cs="Times New Roman"/>
        </w:rPr>
        <w:t xml:space="preserve">lepingus (nt kui pakkuja pakub, et viib toetatavad tööd ellu 10 kuu jooksul, siis peabki vastav tööde teostamise aeg olema </w:t>
      </w:r>
      <w:r w:rsidR="00FA0928" w:rsidRPr="002A1FD1">
        <w:rPr>
          <w:rFonts w:ascii="Times New Roman" w:hAnsi="Times New Roman" w:cs="Times New Roman"/>
        </w:rPr>
        <w:t xml:space="preserve">nii lepingus kui tegelikkuses </w:t>
      </w:r>
      <w:r w:rsidR="00BA13DF" w:rsidRPr="002A1FD1">
        <w:rPr>
          <w:rFonts w:ascii="Times New Roman" w:hAnsi="Times New Roman" w:cs="Times New Roman"/>
        </w:rPr>
        <w:t xml:space="preserve">10 kuud). </w:t>
      </w:r>
      <w:r w:rsidR="00FA0928" w:rsidRPr="002A1FD1">
        <w:rPr>
          <w:rFonts w:ascii="Times New Roman" w:hAnsi="Times New Roman" w:cs="Times New Roman"/>
        </w:rPr>
        <w:t>Ehitustööde korraldamise kavas näidatud ja ehitu</w:t>
      </w:r>
      <w:r w:rsidR="007753A6" w:rsidRPr="002A1FD1">
        <w:rPr>
          <w:rFonts w:ascii="Times New Roman" w:hAnsi="Times New Roman" w:cs="Times New Roman"/>
        </w:rPr>
        <w:t>s</w:t>
      </w:r>
      <w:r w:rsidR="00FA0928" w:rsidRPr="002A1FD1">
        <w:rPr>
          <w:rFonts w:ascii="Times New Roman" w:hAnsi="Times New Roman" w:cs="Times New Roman"/>
        </w:rPr>
        <w:t xml:space="preserve">lepingus toodu omavahelist kooskõla </w:t>
      </w:r>
      <w:r w:rsidR="00A97A29" w:rsidRPr="002A1FD1">
        <w:rPr>
          <w:rFonts w:ascii="Times New Roman" w:hAnsi="Times New Roman" w:cs="Times New Roman"/>
        </w:rPr>
        <w:t xml:space="preserve">peab kontrollima </w:t>
      </w:r>
      <w:proofErr w:type="spellStart"/>
      <w:r w:rsidR="00A97A29" w:rsidRPr="002A1FD1">
        <w:rPr>
          <w:rFonts w:ascii="Times New Roman" w:hAnsi="Times New Roman" w:cs="Times New Roman"/>
        </w:rPr>
        <w:t>hankija</w:t>
      </w:r>
      <w:proofErr w:type="spellEnd"/>
      <w:r w:rsidR="00A97A29" w:rsidRPr="002A1FD1">
        <w:rPr>
          <w:rFonts w:ascii="Times New Roman" w:hAnsi="Times New Roman" w:cs="Times New Roman"/>
        </w:rPr>
        <w:t xml:space="preserve">. </w:t>
      </w:r>
    </w:p>
    <w:p w14:paraId="5A9DD970" w14:textId="77777777" w:rsidR="00710424" w:rsidRDefault="002A1FD1" w:rsidP="00710424">
      <w:pPr>
        <w:pStyle w:val="Loendilik"/>
        <w:jc w:val="both"/>
        <w:rPr>
          <w:rFonts w:ascii="Times New Roman" w:hAnsi="Times New Roman" w:cs="Times New Roman"/>
        </w:rPr>
      </w:pPr>
      <w:r>
        <w:rPr>
          <w:rFonts w:ascii="Times New Roman" w:hAnsi="Times New Roman" w:cs="Times New Roman"/>
        </w:rPr>
        <w:t>Ehitustööde kava h</w:t>
      </w:r>
      <w:r w:rsidR="00A00AB2">
        <w:rPr>
          <w:rFonts w:ascii="Times New Roman" w:hAnsi="Times New Roman" w:cs="Times New Roman"/>
        </w:rPr>
        <w:t xml:space="preserve">indamine toimub </w:t>
      </w:r>
      <w:r>
        <w:rPr>
          <w:rFonts w:ascii="Times New Roman" w:hAnsi="Times New Roman" w:cs="Times New Roman"/>
        </w:rPr>
        <w:t xml:space="preserve">ainult </w:t>
      </w:r>
      <w:r w:rsidR="00A00AB2">
        <w:rPr>
          <w:rFonts w:ascii="Times New Roman" w:hAnsi="Times New Roman" w:cs="Times New Roman"/>
        </w:rPr>
        <w:t>järgnevatest põhimõtetest lähtudes</w:t>
      </w:r>
      <w:r w:rsidR="004D603C">
        <w:rPr>
          <w:rFonts w:ascii="Times New Roman" w:hAnsi="Times New Roman" w:cs="Times New Roman"/>
        </w:rPr>
        <w:t>, sh antakse punkte ainult kas 10, 5 või 0 punkti, vahepealsed punktisummad ei ole lubatavad</w:t>
      </w:r>
      <w:r w:rsidR="00A00AB2">
        <w:rPr>
          <w:rFonts w:ascii="Times New Roman" w:hAnsi="Times New Roman" w:cs="Times New Roman"/>
        </w:rPr>
        <w:t xml:space="preserve">: </w:t>
      </w:r>
    </w:p>
    <w:p w14:paraId="6F602EE6" w14:textId="77777777" w:rsidR="00710424" w:rsidRDefault="00A00AB2" w:rsidP="00710424">
      <w:pPr>
        <w:pStyle w:val="Loendilik"/>
        <w:numPr>
          <w:ilvl w:val="0"/>
          <w:numId w:val="20"/>
        </w:numPr>
        <w:jc w:val="both"/>
        <w:rPr>
          <w:rFonts w:ascii="Times New Roman" w:hAnsi="Times New Roman" w:cs="Times New Roman"/>
        </w:rPr>
      </w:pPr>
      <w:r w:rsidRPr="00710424">
        <w:rPr>
          <w:rFonts w:ascii="Times New Roman" w:hAnsi="Times New Roman" w:cs="Times New Roman"/>
        </w:rPr>
        <w:t xml:space="preserve">10 punkti saab pakkuja, kelle kava on koostatud väga hea kvaliteediga, kirjeldatud on kõik tööetapid ja vajalikud tegevused, ehitustööde ajagraafik on realistlik ning tekitab toetuse saajas veendumuse, et tööde teostamine ja võimalikud riskid on pakkuja poolt põhjalikult läbi mõeldud; </w:t>
      </w:r>
    </w:p>
    <w:p w14:paraId="0DF83419" w14:textId="77777777" w:rsidR="00710424" w:rsidRDefault="00A00AB2" w:rsidP="00710424">
      <w:pPr>
        <w:pStyle w:val="Loendilik"/>
        <w:numPr>
          <w:ilvl w:val="0"/>
          <w:numId w:val="20"/>
        </w:numPr>
        <w:jc w:val="both"/>
        <w:rPr>
          <w:rFonts w:ascii="Times New Roman" w:hAnsi="Times New Roman" w:cs="Times New Roman"/>
        </w:rPr>
      </w:pPr>
      <w:r w:rsidRPr="00710424">
        <w:rPr>
          <w:rFonts w:ascii="Times New Roman" w:hAnsi="Times New Roman" w:cs="Times New Roman"/>
        </w:rPr>
        <w:t>5 punkti saab pakkuja, kelle kava on koostatud keskmise kvaliteediga, kuid ei tekita toetuse saajas veendumust, et tööde teostamine ja võimalikud riskid on pakkuja poolt põhjalikult läbi m</w:t>
      </w:r>
      <w:r w:rsidR="00710424">
        <w:rPr>
          <w:rFonts w:ascii="Times New Roman" w:hAnsi="Times New Roman" w:cs="Times New Roman"/>
        </w:rPr>
        <w:t xml:space="preserve">õeldud; </w:t>
      </w:r>
    </w:p>
    <w:p w14:paraId="56747DE0" w14:textId="6544636B" w:rsidR="00775F71" w:rsidRPr="007B393B" w:rsidRDefault="00A00AB2" w:rsidP="00A00AB2">
      <w:pPr>
        <w:pStyle w:val="Loendilik"/>
        <w:numPr>
          <w:ilvl w:val="0"/>
          <w:numId w:val="20"/>
        </w:numPr>
        <w:jc w:val="both"/>
        <w:rPr>
          <w:rFonts w:ascii="Times New Roman" w:hAnsi="Times New Roman" w:cs="Times New Roman"/>
        </w:rPr>
      </w:pPr>
      <w:r w:rsidRPr="00710424">
        <w:rPr>
          <w:rFonts w:ascii="Times New Roman" w:hAnsi="Times New Roman" w:cs="Times New Roman"/>
        </w:rPr>
        <w:t>0 punkti saab pakkuja, kelle kava on pinnapealne, puudulik või üldse esitamata.</w:t>
      </w:r>
    </w:p>
    <w:p w14:paraId="28C39E15" w14:textId="77777777" w:rsidR="00751814" w:rsidRDefault="00751814" w:rsidP="00A00AB2">
      <w:pPr>
        <w:jc w:val="both"/>
        <w:rPr>
          <w:rFonts w:ascii="Times New Roman" w:hAnsi="Times New Roman" w:cs="Times New Roman"/>
          <w:b/>
        </w:rPr>
      </w:pPr>
    </w:p>
    <w:p w14:paraId="22EDCD38" w14:textId="4DB80C7B" w:rsidR="00A00AB2" w:rsidRPr="00A00AB2" w:rsidRDefault="00A00AB2" w:rsidP="00A00AB2">
      <w:pPr>
        <w:jc w:val="both"/>
        <w:rPr>
          <w:rFonts w:ascii="Times New Roman" w:hAnsi="Times New Roman" w:cs="Times New Roman"/>
          <w:b/>
        </w:rPr>
      </w:pPr>
      <w:r w:rsidRPr="00A00AB2">
        <w:rPr>
          <w:rFonts w:ascii="Times New Roman" w:hAnsi="Times New Roman" w:cs="Times New Roman"/>
          <w:b/>
        </w:rPr>
        <w:t xml:space="preserve">Sihtasutus KredEx juhib </w:t>
      </w:r>
      <w:r w:rsidR="00974BA2">
        <w:rPr>
          <w:rFonts w:ascii="Times New Roman" w:hAnsi="Times New Roman" w:cs="Times New Roman"/>
          <w:b/>
        </w:rPr>
        <w:t xml:space="preserve"> täiendavalt </w:t>
      </w:r>
      <w:r w:rsidRPr="00A00AB2">
        <w:rPr>
          <w:rFonts w:ascii="Times New Roman" w:hAnsi="Times New Roman" w:cs="Times New Roman"/>
          <w:b/>
        </w:rPr>
        <w:t>tähelepanu, et toetuse saaja hankes on toetuse saaja kohustatud lähtuma põhimõttest, et funktsionaalselt koos toimiva või sama eesmärgi</w:t>
      </w:r>
      <w:r w:rsidR="007B393B">
        <w:rPr>
          <w:rFonts w:ascii="Times New Roman" w:hAnsi="Times New Roman" w:cs="Times New Roman"/>
          <w:b/>
        </w:rPr>
        <w:t xml:space="preserve"> </w:t>
      </w:r>
      <w:r w:rsidRPr="00A00AB2">
        <w:rPr>
          <w:rFonts w:ascii="Times New Roman" w:hAnsi="Times New Roman" w:cs="Times New Roman"/>
          <w:b/>
        </w:rPr>
        <w:t xml:space="preserve">saavutamiseks vajalike asjade, teenuste või ehitustööde ostmisel ei tohi lepingut osadeks jagada eesmärgiga eirata perioodi 2014-2020 struktuuritoetuse seaduse § 26 lg 6 toodud kohustust. </w:t>
      </w:r>
    </w:p>
    <w:p w14:paraId="7D372F14" w14:textId="487B1057" w:rsidR="003D0B3C" w:rsidRPr="00A00AB2" w:rsidRDefault="003D0B3C" w:rsidP="00A00AB2">
      <w:pPr>
        <w:jc w:val="both"/>
        <w:rPr>
          <w:rFonts w:ascii="Times New Roman" w:hAnsi="Times New Roman" w:cs="Times New Roman"/>
        </w:rPr>
      </w:pPr>
    </w:p>
    <w:sectPr w:rsidR="003D0B3C" w:rsidRPr="00A00AB2">
      <w:footerReference w:type="default" r:id="rId1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72FC" w16cex:dateUtc="2021-03-29T12:38:00Z"/>
  <w16cex:commentExtensible w16cex:durableId="240C74E4" w16cex:dateUtc="2021-03-29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1FD3C1" w16cid:durableId="240C7275"/>
  <w16cid:commentId w16cid:paraId="7753E80E" w16cid:durableId="240C72FC"/>
  <w16cid:commentId w16cid:paraId="2E9C6FD6" w16cid:durableId="240C7276"/>
  <w16cid:commentId w16cid:paraId="5B451217" w16cid:durableId="240C74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30EB9" w14:textId="77777777" w:rsidR="003E4F69" w:rsidRDefault="003E4F69" w:rsidP="00095569">
      <w:pPr>
        <w:spacing w:after="0" w:line="240" w:lineRule="auto"/>
      </w:pPr>
      <w:r>
        <w:separator/>
      </w:r>
    </w:p>
  </w:endnote>
  <w:endnote w:type="continuationSeparator" w:id="0">
    <w:p w14:paraId="4B83E645" w14:textId="77777777" w:rsidR="003E4F69" w:rsidRDefault="003E4F69" w:rsidP="0009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036726"/>
      <w:docPartObj>
        <w:docPartGallery w:val="Page Numbers (Bottom of Page)"/>
        <w:docPartUnique/>
      </w:docPartObj>
    </w:sdtPr>
    <w:sdtEndPr/>
    <w:sdtContent>
      <w:p w14:paraId="176CAE65" w14:textId="22651223" w:rsidR="00D013DB" w:rsidRDefault="00D013DB">
        <w:pPr>
          <w:pStyle w:val="Jalus"/>
          <w:jc w:val="right"/>
        </w:pPr>
        <w:r>
          <w:fldChar w:fldCharType="begin"/>
        </w:r>
        <w:r>
          <w:instrText>PAGE   \* MERGEFORMAT</w:instrText>
        </w:r>
        <w:r>
          <w:fldChar w:fldCharType="separate"/>
        </w:r>
        <w:r w:rsidR="00501FBE">
          <w:rPr>
            <w:noProof/>
          </w:rPr>
          <w:t>7</w:t>
        </w:r>
        <w:r>
          <w:fldChar w:fldCharType="end"/>
        </w:r>
      </w:p>
    </w:sdtContent>
  </w:sdt>
  <w:p w14:paraId="04735511" w14:textId="77777777" w:rsidR="00D013DB" w:rsidRDefault="00D013D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2E72D" w14:textId="77777777" w:rsidR="003E4F69" w:rsidRDefault="003E4F69" w:rsidP="00095569">
      <w:pPr>
        <w:spacing w:after="0" w:line="240" w:lineRule="auto"/>
      </w:pPr>
      <w:r>
        <w:separator/>
      </w:r>
    </w:p>
  </w:footnote>
  <w:footnote w:type="continuationSeparator" w:id="0">
    <w:p w14:paraId="1E0956B1" w14:textId="77777777" w:rsidR="003E4F69" w:rsidRDefault="003E4F69" w:rsidP="00095569">
      <w:pPr>
        <w:spacing w:after="0" w:line="240" w:lineRule="auto"/>
      </w:pPr>
      <w:r>
        <w:continuationSeparator/>
      </w:r>
    </w:p>
  </w:footnote>
  <w:footnote w:id="1">
    <w:p w14:paraId="31E83DBD" w14:textId="74DD6669" w:rsidR="007A2DED" w:rsidRPr="00CC7483" w:rsidRDefault="007A2DED" w:rsidP="00CC7483">
      <w:pPr>
        <w:pStyle w:val="Allmrkusetekst"/>
        <w:jc w:val="both"/>
        <w:rPr>
          <w:rFonts w:ascii="Times New Roman" w:hAnsi="Times New Roman" w:cs="Times New Roman"/>
        </w:rPr>
      </w:pPr>
      <w:r w:rsidRPr="00CC7483">
        <w:rPr>
          <w:rStyle w:val="Allmrkuseviide"/>
          <w:rFonts w:ascii="Times New Roman" w:hAnsi="Times New Roman" w:cs="Times New Roman"/>
        </w:rPr>
        <w:footnoteRef/>
      </w:r>
      <w:r w:rsidRPr="00CC7483">
        <w:rPr>
          <w:rFonts w:ascii="Times New Roman" w:hAnsi="Times New Roman" w:cs="Times New Roman"/>
        </w:rPr>
        <w:t xml:space="preserve"> Viide toetuse andmise aluseks oleva määruse seletuskirjale, lk 5, punkt 18, kättesaadav arvutivõrgus: https://kredex.ee/sites/default/files/2020-05/Seletuskiri.pdf</w:t>
      </w:r>
    </w:p>
  </w:footnote>
  <w:footnote w:id="2">
    <w:p w14:paraId="3857E871" w14:textId="59140240" w:rsidR="00CC3895" w:rsidRPr="00CC3895" w:rsidRDefault="00CC3895">
      <w:pPr>
        <w:pStyle w:val="Allmrkusetekst"/>
        <w:rPr>
          <w:rFonts w:ascii="Times New Roman" w:hAnsi="Times New Roman" w:cs="Times New Roman"/>
        </w:rPr>
      </w:pPr>
      <w:r w:rsidRPr="00CC3895">
        <w:rPr>
          <w:rStyle w:val="Allmrkuseviide"/>
          <w:rFonts w:ascii="Times New Roman" w:hAnsi="Times New Roman" w:cs="Times New Roman"/>
        </w:rPr>
        <w:footnoteRef/>
      </w:r>
      <w:r w:rsidRPr="00CC3895">
        <w:rPr>
          <w:rFonts w:ascii="Times New Roman" w:hAnsi="Times New Roman" w:cs="Times New Roman"/>
        </w:rPr>
        <w:t xml:space="preserve"> </w:t>
      </w:r>
      <w:r w:rsidRPr="00CC3895">
        <w:rPr>
          <w:rFonts w:ascii="Times New Roman" w:hAnsi="Times New Roman" w:cs="Times New Roman"/>
        </w:rPr>
        <w:t>Mitte rohkem kui 1% lepingu eeldatavast maksumusest</w:t>
      </w:r>
    </w:p>
  </w:footnote>
  <w:footnote w:id="3">
    <w:p w14:paraId="294A74D2" w14:textId="76E047D8" w:rsidR="00F02217" w:rsidRPr="00F4307F" w:rsidRDefault="00F02217" w:rsidP="00F4307F">
      <w:pPr>
        <w:pStyle w:val="Allmrkusetekst"/>
        <w:jc w:val="both"/>
        <w:rPr>
          <w:rFonts w:ascii="Times New Roman" w:hAnsi="Times New Roman" w:cs="Times New Roman"/>
        </w:rPr>
      </w:pPr>
      <w:r w:rsidRPr="00F4307F">
        <w:rPr>
          <w:rStyle w:val="Allmrkuseviide"/>
          <w:rFonts w:ascii="Times New Roman" w:hAnsi="Times New Roman" w:cs="Times New Roman"/>
        </w:rPr>
        <w:footnoteRef/>
      </w:r>
      <w:r w:rsidRPr="00F4307F">
        <w:rPr>
          <w:rFonts w:ascii="Times New Roman" w:hAnsi="Times New Roman" w:cs="Times New Roman"/>
        </w:rPr>
        <w:t xml:space="preserve"> </w:t>
      </w:r>
      <w:proofErr w:type="spellStart"/>
      <w:r w:rsidRPr="00F4307F">
        <w:rPr>
          <w:rFonts w:ascii="Times New Roman" w:hAnsi="Times New Roman" w:cs="Times New Roman"/>
        </w:rPr>
        <w:t>Hankija</w:t>
      </w:r>
      <w:proofErr w:type="spellEnd"/>
      <w:r w:rsidRPr="00F4307F">
        <w:rPr>
          <w:rFonts w:ascii="Times New Roman" w:hAnsi="Times New Roman" w:cs="Times New Roman"/>
        </w:rPr>
        <w:t xml:space="preserve"> võib hindamiskriteeriume omavahel kombineerida, kuid seda eeldusel, et ühegi hindamiskriteeriumi suhteline osakaal ei </w:t>
      </w:r>
      <w:r w:rsidR="006456BD" w:rsidRPr="00F4307F">
        <w:rPr>
          <w:rFonts w:ascii="Times New Roman" w:hAnsi="Times New Roman" w:cs="Times New Roman"/>
        </w:rPr>
        <w:t xml:space="preserve">ületa käesolevas juhises toodud määra, v.a pakkumuse maksumuse hindamiskriteerium, kuna viimane võib olla </w:t>
      </w:r>
      <w:r w:rsidR="00F4307F">
        <w:rPr>
          <w:rFonts w:ascii="Times New Roman" w:hAnsi="Times New Roman" w:cs="Times New Roman"/>
        </w:rPr>
        <w:t xml:space="preserve">ka </w:t>
      </w:r>
      <w:r w:rsidR="006456BD" w:rsidRPr="00F4307F">
        <w:rPr>
          <w:rFonts w:ascii="Times New Roman" w:hAnsi="Times New Roman" w:cs="Times New Roman"/>
        </w:rPr>
        <w:t>ainus hindamiskriteerium</w:t>
      </w:r>
      <w:r w:rsidR="00F4307F">
        <w:rPr>
          <w:rFonts w:ascii="Times New Roman" w:hAnsi="Times New Roman" w:cs="Times New Roman"/>
        </w:rPr>
        <w:t>,</w:t>
      </w:r>
      <w:r w:rsidR="006456BD" w:rsidRPr="00F4307F">
        <w:rPr>
          <w:rFonts w:ascii="Times New Roman" w:hAnsi="Times New Roman" w:cs="Times New Roman"/>
        </w:rPr>
        <w:t xml:space="preserve"> andes 100% punktisummast.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21B0"/>
    <w:multiLevelType w:val="multilevel"/>
    <w:tmpl w:val="53429160"/>
    <w:lvl w:ilvl="0">
      <w:start w:val="1"/>
      <w:numFmt w:val="decimal"/>
      <w:lvlText w:val="%1."/>
      <w:lvlJc w:val="left"/>
      <w:pPr>
        <w:ind w:left="720" w:hanging="360"/>
      </w:pPr>
      <w:rPr>
        <w:rFonts w:hint="default"/>
        <w:b/>
        <w:bCs/>
      </w:rPr>
    </w:lvl>
    <w:lvl w:ilvl="1">
      <w:start w:val="1"/>
      <w:numFmt w:val="decimal"/>
      <w:isLgl/>
      <w:lvlText w:val="%1.%2."/>
      <w:lvlJc w:val="left"/>
      <w:pPr>
        <w:ind w:left="1068" w:hanging="360"/>
      </w:pPr>
      <w:rPr>
        <w:rFonts w:hint="default"/>
        <w:b w:val="0"/>
        <w:b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0F1835ED"/>
    <w:multiLevelType w:val="multilevel"/>
    <w:tmpl w:val="F4BC7616"/>
    <w:lvl w:ilvl="0">
      <w:start w:val="1"/>
      <w:numFmt w:val="decimal"/>
      <w:lvlText w:val="%1."/>
      <w:lvlJc w:val="left"/>
      <w:pPr>
        <w:ind w:left="720" w:hanging="360"/>
      </w:pPr>
      <w:rPr>
        <w:rFonts w:hint="default"/>
        <w:color w:val="auto"/>
        <w:sz w:val="22"/>
        <w:szCs w:val="22"/>
      </w:rPr>
    </w:lvl>
    <w:lvl w:ilvl="1">
      <w:start w:val="1"/>
      <w:numFmt w:val="decimal"/>
      <w:isLgl/>
      <w:lvlText w:val="%1.%2."/>
      <w:lvlJc w:val="left"/>
      <w:pPr>
        <w:ind w:left="720" w:hanging="360"/>
      </w:pPr>
      <w:rPr>
        <w:rFonts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1A34C1"/>
    <w:multiLevelType w:val="multilevel"/>
    <w:tmpl w:val="F4BC7616"/>
    <w:lvl w:ilvl="0">
      <w:start w:val="1"/>
      <w:numFmt w:val="decimal"/>
      <w:lvlText w:val="%1."/>
      <w:lvlJc w:val="left"/>
      <w:pPr>
        <w:ind w:left="720" w:hanging="360"/>
      </w:pPr>
      <w:rPr>
        <w:rFonts w:hint="default"/>
        <w:color w:val="auto"/>
        <w:sz w:val="22"/>
        <w:szCs w:val="22"/>
      </w:rPr>
    </w:lvl>
    <w:lvl w:ilvl="1">
      <w:start w:val="1"/>
      <w:numFmt w:val="decimal"/>
      <w:isLgl/>
      <w:lvlText w:val="%1.%2."/>
      <w:lvlJc w:val="left"/>
      <w:pPr>
        <w:ind w:left="720" w:hanging="360"/>
      </w:pPr>
      <w:rPr>
        <w:rFonts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7B2F98"/>
    <w:multiLevelType w:val="multilevel"/>
    <w:tmpl w:val="15C45086"/>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9F7C13"/>
    <w:multiLevelType w:val="multilevel"/>
    <w:tmpl w:val="81F28DF6"/>
    <w:lvl w:ilvl="0">
      <w:start w:val="3"/>
      <w:numFmt w:val="decimal"/>
      <w:lvlText w:val="%1."/>
      <w:lvlJc w:val="left"/>
      <w:pPr>
        <w:ind w:left="510" w:hanging="510"/>
      </w:pPr>
      <w:rPr>
        <w:rFonts w:hint="default"/>
      </w:rPr>
    </w:lvl>
    <w:lvl w:ilvl="1">
      <w:start w:val="3"/>
      <w:numFmt w:val="decimal"/>
      <w:lvlText w:val="%1.%2."/>
      <w:lvlJc w:val="left"/>
      <w:pPr>
        <w:ind w:left="864" w:hanging="51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BF00965"/>
    <w:multiLevelType w:val="hybridMultilevel"/>
    <w:tmpl w:val="78EC5088"/>
    <w:lvl w:ilvl="0" w:tplc="4A645F96">
      <w:start w:val="1"/>
      <w:numFmt w:val="lowerLetter"/>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6" w15:restartNumberingAfterBreak="0">
    <w:nsid w:val="23035F38"/>
    <w:multiLevelType w:val="hybridMultilevel"/>
    <w:tmpl w:val="FFA86C50"/>
    <w:lvl w:ilvl="0" w:tplc="B2804EAE">
      <w:start w:val="1"/>
      <w:numFmt w:val="lowerLetter"/>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7" w15:restartNumberingAfterBreak="0">
    <w:nsid w:val="36F21597"/>
    <w:multiLevelType w:val="multilevel"/>
    <w:tmpl w:val="7EBA09E6"/>
    <w:lvl w:ilvl="0">
      <w:start w:val="1"/>
      <w:numFmt w:val="decimal"/>
      <w:lvlText w:val="%1."/>
      <w:lvlJc w:val="left"/>
      <w:pPr>
        <w:ind w:left="708" w:hanging="708"/>
      </w:pPr>
      <w:rPr>
        <w:rFonts w:hint="default"/>
      </w:rPr>
    </w:lvl>
    <w:lvl w:ilvl="1">
      <w:start w:val="1"/>
      <w:numFmt w:val="none"/>
      <w:lvlText w:val="1.1"/>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C07C40"/>
    <w:multiLevelType w:val="hybridMultilevel"/>
    <w:tmpl w:val="F94430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6E6350C"/>
    <w:multiLevelType w:val="multilevel"/>
    <w:tmpl w:val="F4BC7616"/>
    <w:lvl w:ilvl="0">
      <w:start w:val="1"/>
      <w:numFmt w:val="decimal"/>
      <w:lvlText w:val="%1."/>
      <w:lvlJc w:val="left"/>
      <w:pPr>
        <w:ind w:left="720" w:hanging="360"/>
      </w:pPr>
      <w:rPr>
        <w:rFonts w:hint="default"/>
        <w:color w:val="auto"/>
        <w:sz w:val="22"/>
        <w:szCs w:val="22"/>
      </w:rPr>
    </w:lvl>
    <w:lvl w:ilvl="1">
      <w:start w:val="1"/>
      <w:numFmt w:val="decimal"/>
      <w:isLgl/>
      <w:lvlText w:val="%1.%2."/>
      <w:lvlJc w:val="left"/>
      <w:pPr>
        <w:ind w:left="720" w:hanging="360"/>
      </w:pPr>
      <w:rPr>
        <w:rFonts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E68443B"/>
    <w:multiLevelType w:val="hybridMultilevel"/>
    <w:tmpl w:val="9462FB2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1" w15:restartNumberingAfterBreak="0">
    <w:nsid w:val="59FB41EA"/>
    <w:multiLevelType w:val="multilevel"/>
    <w:tmpl w:val="D3589810"/>
    <w:lvl w:ilvl="0">
      <w:start w:val="1"/>
      <w:numFmt w:val="bullet"/>
      <w:lvlText w:val=""/>
      <w:lvlJc w:val="left"/>
      <w:pPr>
        <w:ind w:left="794" w:hanging="397"/>
      </w:pPr>
      <w:rPr>
        <w:rFonts w:ascii="Symbol" w:hAnsi="Symbol" w:hint="default"/>
      </w:rPr>
    </w:lvl>
    <w:lvl w:ilvl="1">
      <w:start w:val="1"/>
      <w:numFmt w:val="bullet"/>
      <w:lvlText w:val="o"/>
      <w:lvlJc w:val="left"/>
      <w:pPr>
        <w:ind w:left="1077" w:hanging="283"/>
      </w:pPr>
      <w:rPr>
        <w:rFonts w:ascii="Courier New" w:hAnsi="Courier New" w:hint="default"/>
      </w:rPr>
    </w:lvl>
    <w:lvl w:ilvl="2">
      <w:start w:val="1"/>
      <w:numFmt w:val="bullet"/>
      <w:lvlText w:val=""/>
      <w:lvlJc w:val="left"/>
      <w:pPr>
        <w:ind w:left="1474" w:hanging="397"/>
      </w:pPr>
      <w:rPr>
        <w:rFonts w:ascii="Wingdings" w:hAnsi="Wingdings" w:hint="default"/>
      </w:rPr>
    </w:lvl>
    <w:lvl w:ilvl="3">
      <w:start w:val="1"/>
      <w:numFmt w:val="bullet"/>
      <w:lvlText w:val=""/>
      <w:lvlJc w:val="left"/>
      <w:pPr>
        <w:ind w:left="1871" w:hanging="39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FB73E43"/>
    <w:multiLevelType w:val="hybridMultilevel"/>
    <w:tmpl w:val="A6963B34"/>
    <w:lvl w:ilvl="0" w:tplc="56D45746">
      <w:numFmt w:val="bullet"/>
      <w:lvlText w:val=""/>
      <w:lvlJc w:val="left"/>
      <w:pPr>
        <w:ind w:left="720" w:hanging="360"/>
      </w:pPr>
      <w:rPr>
        <w:rFonts w:ascii="Symbol" w:eastAsia="Calibri" w:hAnsi="Symbol" w:cs="Aria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3" w15:restartNumberingAfterBreak="0">
    <w:nsid w:val="61B23029"/>
    <w:multiLevelType w:val="hybridMultilevel"/>
    <w:tmpl w:val="B3F416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5FA7C02"/>
    <w:multiLevelType w:val="multilevel"/>
    <w:tmpl w:val="7EBA09E6"/>
    <w:lvl w:ilvl="0">
      <w:start w:val="1"/>
      <w:numFmt w:val="decimal"/>
      <w:lvlText w:val="%1."/>
      <w:lvlJc w:val="left"/>
      <w:pPr>
        <w:ind w:left="708" w:hanging="708"/>
      </w:pPr>
      <w:rPr>
        <w:rFonts w:hint="default"/>
      </w:rPr>
    </w:lvl>
    <w:lvl w:ilvl="1">
      <w:start w:val="1"/>
      <w:numFmt w:val="none"/>
      <w:lvlText w:val="1.1"/>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445649"/>
    <w:multiLevelType w:val="hybridMultilevel"/>
    <w:tmpl w:val="9B00BB86"/>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7A387AD7"/>
    <w:multiLevelType w:val="multilevel"/>
    <w:tmpl w:val="B16C2DB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7250D8"/>
    <w:multiLevelType w:val="hybridMultilevel"/>
    <w:tmpl w:val="261664CC"/>
    <w:lvl w:ilvl="0" w:tplc="95A69C4C">
      <w:start w:val="1"/>
      <w:numFmt w:val="lowerRoman"/>
      <w:lvlText w:val="(%1)"/>
      <w:lvlJc w:val="left"/>
      <w:pPr>
        <w:ind w:left="1080" w:hanging="720"/>
      </w:pPr>
      <w:rPr>
        <w:rFonts w:hint="default"/>
      </w:rPr>
    </w:lvl>
    <w:lvl w:ilvl="1" w:tplc="4C20BC36">
      <w:numFmt w:val="bullet"/>
      <w:lvlText w:val=""/>
      <w:lvlJc w:val="left"/>
      <w:pPr>
        <w:ind w:left="1440" w:hanging="360"/>
      </w:pPr>
      <w:rPr>
        <w:rFonts w:ascii="Arial" w:eastAsia="MS Mincho" w:hAnsi="Arial" w:cs="Aria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E0E3864"/>
    <w:multiLevelType w:val="multilevel"/>
    <w:tmpl w:val="D1FAF384"/>
    <w:lvl w:ilvl="0">
      <w:start w:val="1"/>
      <w:numFmt w:val="decimal"/>
      <w:pStyle w:val="Pealkiri1"/>
      <w:lvlText w:val="%1."/>
      <w:lvlJc w:val="left"/>
      <w:pPr>
        <w:tabs>
          <w:tab w:val="num" w:pos="360"/>
        </w:tabs>
        <w:ind w:left="360" w:hanging="360"/>
      </w:pPr>
      <w:rPr>
        <w:rFonts w:hint="default"/>
        <w:b/>
        <w:i w:val="0"/>
      </w:rPr>
    </w:lvl>
    <w:lvl w:ilvl="1">
      <w:start w:val="1"/>
      <w:numFmt w:val="decimal"/>
      <w:lvlText w:val="%1.%2."/>
      <w:lvlJc w:val="left"/>
      <w:pPr>
        <w:tabs>
          <w:tab w:val="num" w:pos="644"/>
        </w:tabs>
        <w:ind w:left="644" w:hanging="360"/>
      </w:pPr>
      <w:rPr>
        <w:rFonts w:ascii="Times New Roman" w:hAnsi="Times New Roman" w:cs="Times New Roman" w:hint="default"/>
        <w:b w:val="0"/>
        <w:i w:val="0"/>
        <w:color w:val="auto"/>
        <w:sz w:val="22"/>
        <w:szCs w:val="22"/>
      </w:rPr>
    </w:lvl>
    <w:lvl w:ilvl="2">
      <w:start w:val="1"/>
      <w:numFmt w:val="decimal"/>
      <w:pStyle w:val="phitekst2"/>
      <w:lvlText w:val="%1.%2.%3."/>
      <w:lvlJc w:val="left"/>
      <w:pPr>
        <w:tabs>
          <w:tab w:val="num" w:pos="1497"/>
        </w:tabs>
        <w:ind w:left="1497" w:hanging="504"/>
      </w:pPr>
      <w:rPr>
        <w:rFonts w:hint="default"/>
        <w:b w:val="0"/>
        <w:color w:val="auto"/>
        <w:sz w:val="22"/>
        <w:szCs w:val="22"/>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1"/>
  </w:num>
  <w:num w:numId="3">
    <w:abstractNumId w:val="17"/>
  </w:num>
  <w:num w:numId="4">
    <w:abstractNumId w:val="8"/>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
  </w:num>
  <w:num w:numId="11">
    <w:abstractNumId w:val="2"/>
  </w:num>
  <w:num w:numId="12">
    <w:abstractNumId w:val="3"/>
  </w:num>
  <w:num w:numId="13">
    <w:abstractNumId w:val="7"/>
  </w:num>
  <w:num w:numId="14">
    <w:abstractNumId w:val="14"/>
  </w:num>
  <w:num w:numId="15">
    <w:abstractNumId w:val="18"/>
  </w:num>
  <w:num w:numId="16">
    <w:abstractNumId w:val="4"/>
  </w:num>
  <w:num w:numId="17">
    <w:abstractNumId w:val="16"/>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66"/>
    <w:rsid w:val="0001487B"/>
    <w:rsid w:val="00021EEF"/>
    <w:rsid w:val="00024C1E"/>
    <w:rsid w:val="000376A7"/>
    <w:rsid w:val="00037883"/>
    <w:rsid w:val="00040B88"/>
    <w:rsid w:val="00041BF0"/>
    <w:rsid w:val="00045967"/>
    <w:rsid w:val="00050961"/>
    <w:rsid w:val="0006073E"/>
    <w:rsid w:val="00091D78"/>
    <w:rsid w:val="00094C04"/>
    <w:rsid w:val="00095569"/>
    <w:rsid w:val="000A71F2"/>
    <w:rsid w:val="000B09DA"/>
    <w:rsid w:val="000B2327"/>
    <w:rsid w:val="000B46C1"/>
    <w:rsid w:val="000B4935"/>
    <w:rsid w:val="000B6B92"/>
    <w:rsid w:val="000D0EAF"/>
    <w:rsid w:val="000E01F6"/>
    <w:rsid w:val="001001B5"/>
    <w:rsid w:val="00110C8E"/>
    <w:rsid w:val="00111A7C"/>
    <w:rsid w:val="00130A54"/>
    <w:rsid w:val="00133B82"/>
    <w:rsid w:val="001402F1"/>
    <w:rsid w:val="001426AF"/>
    <w:rsid w:val="0016453C"/>
    <w:rsid w:val="00171EBE"/>
    <w:rsid w:val="00195CEA"/>
    <w:rsid w:val="001A145B"/>
    <w:rsid w:val="001D16F3"/>
    <w:rsid w:val="001E3E30"/>
    <w:rsid w:val="001E4130"/>
    <w:rsid w:val="001F4424"/>
    <w:rsid w:val="00204B6D"/>
    <w:rsid w:val="002170E8"/>
    <w:rsid w:val="0022102C"/>
    <w:rsid w:val="00230C7C"/>
    <w:rsid w:val="0023617F"/>
    <w:rsid w:val="002376FF"/>
    <w:rsid w:val="002615B6"/>
    <w:rsid w:val="00266A1D"/>
    <w:rsid w:val="00271A26"/>
    <w:rsid w:val="002736F4"/>
    <w:rsid w:val="002833E2"/>
    <w:rsid w:val="0028413C"/>
    <w:rsid w:val="00284569"/>
    <w:rsid w:val="00287A1B"/>
    <w:rsid w:val="00287CF1"/>
    <w:rsid w:val="002A1FD1"/>
    <w:rsid w:val="002C1839"/>
    <w:rsid w:val="002C2C66"/>
    <w:rsid w:val="002C48B9"/>
    <w:rsid w:val="002C7E34"/>
    <w:rsid w:val="002F0DBE"/>
    <w:rsid w:val="0030472C"/>
    <w:rsid w:val="00343793"/>
    <w:rsid w:val="00361F55"/>
    <w:rsid w:val="0037568D"/>
    <w:rsid w:val="00384798"/>
    <w:rsid w:val="00387834"/>
    <w:rsid w:val="00397A84"/>
    <w:rsid w:val="003A1DC6"/>
    <w:rsid w:val="003B1355"/>
    <w:rsid w:val="003B4051"/>
    <w:rsid w:val="003C3441"/>
    <w:rsid w:val="003D0B3C"/>
    <w:rsid w:val="003D23A6"/>
    <w:rsid w:val="003E2E06"/>
    <w:rsid w:val="003E392A"/>
    <w:rsid w:val="003E4F69"/>
    <w:rsid w:val="003E769B"/>
    <w:rsid w:val="003F0879"/>
    <w:rsid w:val="00406D66"/>
    <w:rsid w:val="00407182"/>
    <w:rsid w:val="00446888"/>
    <w:rsid w:val="004470B2"/>
    <w:rsid w:val="00450A27"/>
    <w:rsid w:val="0045144B"/>
    <w:rsid w:val="0046245C"/>
    <w:rsid w:val="0047736C"/>
    <w:rsid w:val="00484098"/>
    <w:rsid w:val="00490260"/>
    <w:rsid w:val="004B30C1"/>
    <w:rsid w:val="004C1C99"/>
    <w:rsid w:val="004D2521"/>
    <w:rsid w:val="004D603C"/>
    <w:rsid w:val="004E0447"/>
    <w:rsid w:val="004F03F0"/>
    <w:rsid w:val="004F4C88"/>
    <w:rsid w:val="00501FBE"/>
    <w:rsid w:val="005123C3"/>
    <w:rsid w:val="00512995"/>
    <w:rsid w:val="00525FAF"/>
    <w:rsid w:val="00534A91"/>
    <w:rsid w:val="005525AC"/>
    <w:rsid w:val="0058729F"/>
    <w:rsid w:val="00593D60"/>
    <w:rsid w:val="005A1735"/>
    <w:rsid w:val="005A5E92"/>
    <w:rsid w:val="005C038B"/>
    <w:rsid w:val="005C7317"/>
    <w:rsid w:val="005F03DE"/>
    <w:rsid w:val="006035F6"/>
    <w:rsid w:val="00610E25"/>
    <w:rsid w:val="00611DA0"/>
    <w:rsid w:val="00613FB9"/>
    <w:rsid w:val="006241CC"/>
    <w:rsid w:val="00625226"/>
    <w:rsid w:val="006371A5"/>
    <w:rsid w:val="00640039"/>
    <w:rsid w:val="006456BD"/>
    <w:rsid w:val="00647481"/>
    <w:rsid w:val="00653658"/>
    <w:rsid w:val="0066359B"/>
    <w:rsid w:val="006837CA"/>
    <w:rsid w:val="006A2C38"/>
    <w:rsid w:val="006B5366"/>
    <w:rsid w:val="006C2603"/>
    <w:rsid w:val="006D54B2"/>
    <w:rsid w:val="006D6085"/>
    <w:rsid w:val="006E463F"/>
    <w:rsid w:val="006E46D8"/>
    <w:rsid w:val="006E76FA"/>
    <w:rsid w:val="006F2BFD"/>
    <w:rsid w:val="00710424"/>
    <w:rsid w:val="0071442C"/>
    <w:rsid w:val="00734F3B"/>
    <w:rsid w:val="00735EBA"/>
    <w:rsid w:val="00744A6F"/>
    <w:rsid w:val="007455F5"/>
    <w:rsid w:val="00751022"/>
    <w:rsid w:val="00751814"/>
    <w:rsid w:val="00752EDE"/>
    <w:rsid w:val="00767BEA"/>
    <w:rsid w:val="0077449B"/>
    <w:rsid w:val="007753A6"/>
    <w:rsid w:val="00775F71"/>
    <w:rsid w:val="00777DA9"/>
    <w:rsid w:val="007926DA"/>
    <w:rsid w:val="00794907"/>
    <w:rsid w:val="007957E8"/>
    <w:rsid w:val="007A2357"/>
    <w:rsid w:val="007A2DED"/>
    <w:rsid w:val="007B1055"/>
    <w:rsid w:val="007B1AD2"/>
    <w:rsid w:val="007B393B"/>
    <w:rsid w:val="007B6839"/>
    <w:rsid w:val="007C6FFA"/>
    <w:rsid w:val="007D1076"/>
    <w:rsid w:val="007D5E18"/>
    <w:rsid w:val="007E4B97"/>
    <w:rsid w:val="0080153E"/>
    <w:rsid w:val="008049BA"/>
    <w:rsid w:val="00806983"/>
    <w:rsid w:val="00816B3C"/>
    <w:rsid w:val="00820465"/>
    <w:rsid w:val="008206CA"/>
    <w:rsid w:val="00836615"/>
    <w:rsid w:val="00841300"/>
    <w:rsid w:val="0084345B"/>
    <w:rsid w:val="00845C0C"/>
    <w:rsid w:val="00864458"/>
    <w:rsid w:val="00864FC1"/>
    <w:rsid w:val="00891E15"/>
    <w:rsid w:val="008D3D34"/>
    <w:rsid w:val="008D4C0A"/>
    <w:rsid w:val="008D7EA4"/>
    <w:rsid w:val="00910599"/>
    <w:rsid w:val="00916FE7"/>
    <w:rsid w:val="00922FEB"/>
    <w:rsid w:val="009424EE"/>
    <w:rsid w:val="009457C4"/>
    <w:rsid w:val="0095114B"/>
    <w:rsid w:val="00952C61"/>
    <w:rsid w:val="0095586D"/>
    <w:rsid w:val="00972BBD"/>
    <w:rsid w:val="00974BA2"/>
    <w:rsid w:val="00997D02"/>
    <w:rsid w:val="009A133F"/>
    <w:rsid w:val="009D617B"/>
    <w:rsid w:val="00A00AB2"/>
    <w:rsid w:val="00A061F0"/>
    <w:rsid w:val="00A14D2A"/>
    <w:rsid w:val="00A21994"/>
    <w:rsid w:val="00A328B7"/>
    <w:rsid w:val="00A7586E"/>
    <w:rsid w:val="00A774F1"/>
    <w:rsid w:val="00A817FB"/>
    <w:rsid w:val="00A86D1C"/>
    <w:rsid w:val="00A916BE"/>
    <w:rsid w:val="00A93517"/>
    <w:rsid w:val="00A97234"/>
    <w:rsid w:val="00A97A29"/>
    <w:rsid w:val="00AA78B0"/>
    <w:rsid w:val="00AB4177"/>
    <w:rsid w:val="00AC3AB4"/>
    <w:rsid w:val="00AC4F40"/>
    <w:rsid w:val="00AC6868"/>
    <w:rsid w:val="00AD1089"/>
    <w:rsid w:val="00AE5D97"/>
    <w:rsid w:val="00AF0A3E"/>
    <w:rsid w:val="00B50671"/>
    <w:rsid w:val="00B562F5"/>
    <w:rsid w:val="00B60BB6"/>
    <w:rsid w:val="00B653D8"/>
    <w:rsid w:val="00B81D5E"/>
    <w:rsid w:val="00B9121D"/>
    <w:rsid w:val="00BA046B"/>
    <w:rsid w:val="00BA13DF"/>
    <w:rsid w:val="00BA3EEA"/>
    <w:rsid w:val="00BA555C"/>
    <w:rsid w:val="00BC00B9"/>
    <w:rsid w:val="00BD45F4"/>
    <w:rsid w:val="00BE7BBE"/>
    <w:rsid w:val="00C14945"/>
    <w:rsid w:val="00C14A5A"/>
    <w:rsid w:val="00C24221"/>
    <w:rsid w:val="00C524B8"/>
    <w:rsid w:val="00C553C2"/>
    <w:rsid w:val="00C630D1"/>
    <w:rsid w:val="00C87043"/>
    <w:rsid w:val="00C94173"/>
    <w:rsid w:val="00C96DB1"/>
    <w:rsid w:val="00C971BF"/>
    <w:rsid w:val="00CA07E7"/>
    <w:rsid w:val="00CB0A3F"/>
    <w:rsid w:val="00CB10AA"/>
    <w:rsid w:val="00CB1E6D"/>
    <w:rsid w:val="00CC3895"/>
    <w:rsid w:val="00CC65D5"/>
    <w:rsid w:val="00CC7483"/>
    <w:rsid w:val="00CD0989"/>
    <w:rsid w:val="00CD0EE5"/>
    <w:rsid w:val="00CD6A95"/>
    <w:rsid w:val="00CE6C61"/>
    <w:rsid w:val="00CE716B"/>
    <w:rsid w:val="00CF35ED"/>
    <w:rsid w:val="00D013DB"/>
    <w:rsid w:val="00D044AA"/>
    <w:rsid w:val="00D30C5F"/>
    <w:rsid w:val="00D37828"/>
    <w:rsid w:val="00D6426F"/>
    <w:rsid w:val="00D717CE"/>
    <w:rsid w:val="00D75BF2"/>
    <w:rsid w:val="00D85C1C"/>
    <w:rsid w:val="00D94DB3"/>
    <w:rsid w:val="00DA5892"/>
    <w:rsid w:val="00DD0563"/>
    <w:rsid w:val="00DD0C69"/>
    <w:rsid w:val="00DD483B"/>
    <w:rsid w:val="00DE27AD"/>
    <w:rsid w:val="00DE28FA"/>
    <w:rsid w:val="00DE4D9F"/>
    <w:rsid w:val="00DE4E26"/>
    <w:rsid w:val="00DF6AC9"/>
    <w:rsid w:val="00E10F93"/>
    <w:rsid w:val="00E12539"/>
    <w:rsid w:val="00E334A8"/>
    <w:rsid w:val="00E367AD"/>
    <w:rsid w:val="00E529B5"/>
    <w:rsid w:val="00E60A6A"/>
    <w:rsid w:val="00E66B52"/>
    <w:rsid w:val="00E67355"/>
    <w:rsid w:val="00E71922"/>
    <w:rsid w:val="00EA1C1F"/>
    <w:rsid w:val="00EA2DDF"/>
    <w:rsid w:val="00EB30B4"/>
    <w:rsid w:val="00ED1FD5"/>
    <w:rsid w:val="00EE2747"/>
    <w:rsid w:val="00EE5D93"/>
    <w:rsid w:val="00EE6782"/>
    <w:rsid w:val="00EF0123"/>
    <w:rsid w:val="00EF5089"/>
    <w:rsid w:val="00EF6C78"/>
    <w:rsid w:val="00F02217"/>
    <w:rsid w:val="00F11C4B"/>
    <w:rsid w:val="00F137BC"/>
    <w:rsid w:val="00F15D2D"/>
    <w:rsid w:val="00F32849"/>
    <w:rsid w:val="00F36D08"/>
    <w:rsid w:val="00F420FE"/>
    <w:rsid w:val="00F4307F"/>
    <w:rsid w:val="00F4581F"/>
    <w:rsid w:val="00F460E0"/>
    <w:rsid w:val="00F56468"/>
    <w:rsid w:val="00F61E90"/>
    <w:rsid w:val="00F651B3"/>
    <w:rsid w:val="00F75891"/>
    <w:rsid w:val="00F77319"/>
    <w:rsid w:val="00F80893"/>
    <w:rsid w:val="00F81AF5"/>
    <w:rsid w:val="00F83E81"/>
    <w:rsid w:val="00F90DEC"/>
    <w:rsid w:val="00F92B15"/>
    <w:rsid w:val="00FA0928"/>
    <w:rsid w:val="00FB6D29"/>
    <w:rsid w:val="00FD217B"/>
    <w:rsid w:val="00FD7CD6"/>
    <w:rsid w:val="00FE32A4"/>
    <w:rsid w:val="00FE603C"/>
    <w:rsid w:val="00FF18E5"/>
    <w:rsid w:val="00FF548B"/>
    <w:rsid w:val="00FF5AC9"/>
    <w:rsid w:val="00FF6C7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02AA"/>
  <w15:chartTrackingRefBased/>
  <w15:docId w15:val="{723EB872-1B39-4E58-A973-9FB1FA30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qFormat/>
    <w:rsid w:val="00794907"/>
    <w:pPr>
      <w:keepNext/>
      <w:numPr>
        <w:numId w:val="15"/>
      </w:numPr>
      <w:spacing w:before="240" w:after="60" w:line="240" w:lineRule="auto"/>
      <w:outlineLvl w:val="0"/>
    </w:pPr>
    <w:rPr>
      <w:rFonts w:ascii="Times New Roman" w:eastAsia="Times New Roman" w:hAnsi="Times New Roman" w:cs="Arial"/>
      <w:b/>
      <w:bCs/>
      <w:caps/>
      <w:kern w:val="32"/>
      <w:sz w:val="32"/>
      <w:szCs w:val="32"/>
    </w:rPr>
  </w:style>
  <w:style w:type="paragraph" w:styleId="Pealkiri2">
    <w:name w:val="heading 2"/>
    <w:basedOn w:val="Normaallaad"/>
    <w:next w:val="Normaallaad"/>
    <w:link w:val="Pealkiri2Mrk"/>
    <w:uiPriority w:val="9"/>
    <w:unhideWhenUsed/>
    <w:qFormat/>
    <w:rsid w:val="000955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semiHidden/>
    <w:unhideWhenUsed/>
    <w:qFormat/>
    <w:rsid w:val="007A2D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095569"/>
    <w:rPr>
      <w:rFonts w:asciiTheme="majorHAnsi" w:eastAsiaTheme="majorEastAsia" w:hAnsiTheme="majorHAnsi" w:cstheme="majorBidi"/>
      <w:color w:val="2E74B5" w:themeColor="accent1" w:themeShade="BF"/>
      <w:sz w:val="26"/>
      <w:szCs w:val="26"/>
    </w:rPr>
  </w:style>
  <w:style w:type="character" w:styleId="Tugevrhutus">
    <w:name w:val="Intense Emphasis"/>
    <w:basedOn w:val="Liguvaikefont"/>
    <w:uiPriority w:val="21"/>
    <w:qFormat/>
    <w:rsid w:val="00095569"/>
    <w:rPr>
      <w:i/>
      <w:iCs/>
      <w:color w:val="5B9BD5" w:themeColor="accent1"/>
    </w:rPr>
  </w:style>
  <w:style w:type="character" w:styleId="Tugevviide">
    <w:name w:val="Intense Reference"/>
    <w:basedOn w:val="Liguvaikefont"/>
    <w:uiPriority w:val="32"/>
    <w:qFormat/>
    <w:rsid w:val="00095569"/>
    <w:rPr>
      <w:b/>
      <w:bCs/>
      <w:smallCaps/>
      <w:color w:val="5B9BD5" w:themeColor="accent1"/>
      <w:spacing w:val="5"/>
    </w:rPr>
  </w:style>
  <w:style w:type="paragraph" w:styleId="Allmrkusetekst">
    <w:name w:val="footnote text"/>
    <w:basedOn w:val="Normaallaad"/>
    <w:link w:val="AllmrkusetekstMrk"/>
    <w:uiPriority w:val="99"/>
    <w:unhideWhenUsed/>
    <w:rsid w:val="00095569"/>
    <w:pPr>
      <w:spacing w:after="0" w:line="240" w:lineRule="auto"/>
    </w:pPr>
    <w:rPr>
      <w:sz w:val="20"/>
      <w:szCs w:val="20"/>
    </w:rPr>
  </w:style>
  <w:style w:type="character" w:customStyle="1" w:styleId="AllmrkusetekstMrk">
    <w:name w:val="Allmärkuse tekst Märk"/>
    <w:basedOn w:val="Liguvaikefont"/>
    <w:link w:val="Allmrkusetekst"/>
    <w:uiPriority w:val="99"/>
    <w:rsid w:val="00095569"/>
    <w:rPr>
      <w:sz w:val="20"/>
      <w:szCs w:val="20"/>
    </w:rPr>
  </w:style>
  <w:style w:type="character" w:styleId="Allmrkuseviide">
    <w:name w:val="footnote reference"/>
    <w:basedOn w:val="Liguvaikefont"/>
    <w:uiPriority w:val="99"/>
    <w:semiHidden/>
    <w:unhideWhenUsed/>
    <w:rsid w:val="00095569"/>
    <w:rPr>
      <w:vertAlign w:val="superscript"/>
    </w:rPr>
  </w:style>
  <w:style w:type="character" w:styleId="Tugev">
    <w:name w:val="Strong"/>
    <w:basedOn w:val="Liguvaikefont"/>
    <w:uiPriority w:val="22"/>
    <w:qFormat/>
    <w:rsid w:val="00FF6C7F"/>
    <w:rPr>
      <w:b/>
      <w:bCs/>
    </w:rPr>
  </w:style>
  <w:style w:type="paragraph" w:styleId="Loendilik">
    <w:name w:val="List Paragraph"/>
    <w:basedOn w:val="Normaallaad"/>
    <w:uiPriority w:val="34"/>
    <w:qFormat/>
    <w:rsid w:val="00FF6C7F"/>
    <w:pPr>
      <w:ind w:left="720"/>
      <w:contextualSpacing/>
    </w:pPr>
  </w:style>
  <w:style w:type="character" w:styleId="Hperlink">
    <w:name w:val="Hyperlink"/>
    <w:basedOn w:val="Liguvaikefont"/>
    <w:uiPriority w:val="99"/>
    <w:unhideWhenUsed/>
    <w:rsid w:val="00040B88"/>
    <w:rPr>
      <w:color w:val="0563C1" w:themeColor="hyperlink"/>
      <w:u w:val="single"/>
    </w:rPr>
  </w:style>
  <w:style w:type="character" w:customStyle="1" w:styleId="ng-binding">
    <w:name w:val="ng-binding"/>
    <w:basedOn w:val="Liguvaikefont"/>
    <w:rsid w:val="00040B88"/>
  </w:style>
  <w:style w:type="character" w:styleId="Kommentaariviide">
    <w:name w:val="annotation reference"/>
    <w:basedOn w:val="Liguvaikefont"/>
    <w:uiPriority w:val="99"/>
    <w:semiHidden/>
    <w:unhideWhenUsed/>
    <w:rsid w:val="00F02217"/>
    <w:rPr>
      <w:sz w:val="16"/>
      <w:szCs w:val="16"/>
    </w:rPr>
  </w:style>
  <w:style w:type="paragraph" w:styleId="Kommentaaritekst">
    <w:name w:val="annotation text"/>
    <w:basedOn w:val="Normaallaad"/>
    <w:link w:val="KommentaaritekstMrk"/>
    <w:uiPriority w:val="99"/>
    <w:unhideWhenUsed/>
    <w:rsid w:val="00F02217"/>
    <w:pPr>
      <w:spacing w:line="240" w:lineRule="auto"/>
    </w:pPr>
    <w:rPr>
      <w:sz w:val="20"/>
      <w:szCs w:val="20"/>
    </w:rPr>
  </w:style>
  <w:style w:type="character" w:customStyle="1" w:styleId="KommentaaritekstMrk">
    <w:name w:val="Kommentaari tekst Märk"/>
    <w:basedOn w:val="Liguvaikefont"/>
    <w:link w:val="Kommentaaritekst"/>
    <w:uiPriority w:val="99"/>
    <w:rsid w:val="00F02217"/>
    <w:rPr>
      <w:sz w:val="20"/>
      <w:szCs w:val="20"/>
    </w:rPr>
  </w:style>
  <w:style w:type="paragraph" w:styleId="Kommentaariteema">
    <w:name w:val="annotation subject"/>
    <w:basedOn w:val="Kommentaaritekst"/>
    <w:next w:val="Kommentaaritekst"/>
    <w:link w:val="KommentaariteemaMrk"/>
    <w:uiPriority w:val="99"/>
    <w:semiHidden/>
    <w:unhideWhenUsed/>
    <w:rsid w:val="00F02217"/>
    <w:rPr>
      <w:b/>
      <w:bCs/>
    </w:rPr>
  </w:style>
  <w:style w:type="character" w:customStyle="1" w:styleId="KommentaariteemaMrk">
    <w:name w:val="Kommentaari teema Märk"/>
    <w:basedOn w:val="KommentaaritekstMrk"/>
    <w:link w:val="Kommentaariteema"/>
    <w:uiPriority w:val="99"/>
    <w:semiHidden/>
    <w:rsid w:val="00F02217"/>
    <w:rPr>
      <w:b/>
      <w:bCs/>
      <w:sz w:val="20"/>
      <w:szCs w:val="20"/>
    </w:rPr>
  </w:style>
  <w:style w:type="paragraph" w:styleId="Jutumullitekst">
    <w:name w:val="Balloon Text"/>
    <w:basedOn w:val="Normaallaad"/>
    <w:link w:val="JutumullitekstMrk"/>
    <w:uiPriority w:val="99"/>
    <w:semiHidden/>
    <w:unhideWhenUsed/>
    <w:rsid w:val="00F02217"/>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02217"/>
    <w:rPr>
      <w:rFonts w:ascii="Segoe UI" w:hAnsi="Segoe UI" w:cs="Segoe UI"/>
      <w:sz w:val="18"/>
      <w:szCs w:val="18"/>
    </w:rPr>
  </w:style>
  <w:style w:type="paragraph" w:customStyle="1" w:styleId="ng-scope">
    <w:name w:val="ng-scope"/>
    <w:basedOn w:val="Normaallaad"/>
    <w:rsid w:val="00C14945"/>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Normaallaadveeb">
    <w:name w:val="Normal (Web)"/>
    <w:basedOn w:val="Normaallaad"/>
    <w:uiPriority w:val="99"/>
    <w:semiHidden/>
    <w:unhideWhenUsed/>
    <w:rsid w:val="00C14945"/>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Pis">
    <w:name w:val="header"/>
    <w:basedOn w:val="Normaallaad"/>
    <w:link w:val="PisMrk"/>
    <w:uiPriority w:val="99"/>
    <w:unhideWhenUsed/>
    <w:rsid w:val="00D013DB"/>
    <w:pPr>
      <w:tabs>
        <w:tab w:val="center" w:pos="4536"/>
        <w:tab w:val="right" w:pos="9072"/>
      </w:tabs>
      <w:spacing w:after="0" w:line="240" w:lineRule="auto"/>
    </w:pPr>
  </w:style>
  <w:style w:type="character" w:customStyle="1" w:styleId="PisMrk">
    <w:name w:val="Päis Märk"/>
    <w:basedOn w:val="Liguvaikefont"/>
    <w:link w:val="Pis"/>
    <w:uiPriority w:val="99"/>
    <w:rsid w:val="00D013DB"/>
  </w:style>
  <w:style w:type="paragraph" w:styleId="Jalus">
    <w:name w:val="footer"/>
    <w:basedOn w:val="Normaallaad"/>
    <w:link w:val="JalusMrk"/>
    <w:uiPriority w:val="99"/>
    <w:unhideWhenUsed/>
    <w:rsid w:val="00D013DB"/>
    <w:pPr>
      <w:tabs>
        <w:tab w:val="center" w:pos="4536"/>
        <w:tab w:val="right" w:pos="9072"/>
      </w:tabs>
      <w:spacing w:after="0" w:line="240" w:lineRule="auto"/>
    </w:pPr>
  </w:style>
  <w:style w:type="character" w:customStyle="1" w:styleId="JalusMrk">
    <w:name w:val="Jalus Märk"/>
    <w:basedOn w:val="Liguvaikefont"/>
    <w:link w:val="Jalus"/>
    <w:uiPriority w:val="99"/>
    <w:rsid w:val="00D013DB"/>
  </w:style>
  <w:style w:type="character" w:customStyle="1" w:styleId="Pealkiri3Mrk">
    <w:name w:val="Pealkiri 3 Märk"/>
    <w:basedOn w:val="Liguvaikefont"/>
    <w:link w:val="Pealkiri3"/>
    <w:uiPriority w:val="9"/>
    <w:semiHidden/>
    <w:rsid w:val="007A2DED"/>
    <w:rPr>
      <w:rFonts w:asciiTheme="majorHAnsi" w:eastAsiaTheme="majorEastAsia" w:hAnsiTheme="majorHAnsi" w:cstheme="majorBidi"/>
      <w:color w:val="1F4D78" w:themeColor="accent1" w:themeShade="7F"/>
      <w:sz w:val="24"/>
      <w:szCs w:val="24"/>
    </w:rPr>
  </w:style>
  <w:style w:type="character" w:customStyle="1" w:styleId="Pealkiri1Mrk">
    <w:name w:val="Pealkiri 1 Märk"/>
    <w:basedOn w:val="Liguvaikefont"/>
    <w:link w:val="Pealkiri1"/>
    <w:rsid w:val="00794907"/>
    <w:rPr>
      <w:rFonts w:ascii="Times New Roman" w:eastAsia="Times New Roman" w:hAnsi="Times New Roman" w:cs="Arial"/>
      <w:b/>
      <w:bCs/>
      <w:caps/>
      <w:kern w:val="32"/>
      <w:sz w:val="32"/>
      <w:szCs w:val="32"/>
    </w:rPr>
  </w:style>
  <w:style w:type="paragraph" w:customStyle="1" w:styleId="phitekst2">
    <w:name w:val="põhitekst 2"/>
    <w:basedOn w:val="Pealkiri3"/>
    <w:rsid w:val="00794907"/>
    <w:pPr>
      <w:keepNext w:val="0"/>
      <w:keepLines w:val="0"/>
      <w:numPr>
        <w:ilvl w:val="2"/>
        <w:numId w:val="15"/>
      </w:numPr>
      <w:tabs>
        <w:tab w:val="clear" w:pos="1497"/>
        <w:tab w:val="num" w:pos="1214"/>
      </w:tabs>
      <w:spacing w:before="0" w:line="240" w:lineRule="auto"/>
      <w:ind w:left="1214"/>
    </w:pPr>
    <w:rPr>
      <w:rFonts w:ascii="Times New Roman" w:eastAsia="Times New Roman" w:hAnsi="Times New Roman" w:cs="Times New Roman"/>
      <w:bCs/>
      <w:color w:val="auto"/>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5324">
      <w:bodyDiv w:val="1"/>
      <w:marLeft w:val="0"/>
      <w:marRight w:val="0"/>
      <w:marTop w:val="0"/>
      <w:marBottom w:val="0"/>
      <w:divBdr>
        <w:top w:val="none" w:sz="0" w:space="0" w:color="auto"/>
        <w:left w:val="none" w:sz="0" w:space="0" w:color="auto"/>
        <w:bottom w:val="none" w:sz="0" w:space="0" w:color="auto"/>
        <w:right w:val="none" w:sz="0" w:space="0" w:color="auto"/>
      </w:divBdr>
    </w:div>
    <w:div w:id="365107961">
      <w:bodyDiv w:val="1"/>
      <w:marLeft w:val="0"/>
      <w:marRight w:val="0"/>
      <w:marTop w:val="0"/>
      <w:marBottom w:val="0"/>
      <w:divBdr>
        <w:top w:val="none" w:sz="0" w:space="0" w:color="auto"/>
        <w:left w:val="none" w:sz="0" w:space="0" w:color="auto"/>
        <w:bottom w:val="none" w:sz="0" w:space="0" w:color="auto"/>
        <w:right w:val="none" w:sz="0" w:space="0" w:color="auto"/>
      </w:divBdr>
    </w:div>
    <w:div w:id="418333233">
      <w:bodyDiv w:val="1"/>
      <w:marLeft w:val="0"/>
      <w:marRight w:val="0"/>
      <w:marTop w:val="0"/>
      <w:marBottom w:val="0"/>
      <w:divBdr>
        <w:top w:val="none" w:sz="0" w:space="0" w:color="auto"/>
        <w:left w:val="none" w:sz="0" w:space="0" w:color="auto"/>
        <w:bottom w:val="none" w:sz="0" w:space="0" w:color="auto"/>
        <w:right w:val="none" w:sz="0" w:space="0" w:color="auto"/>
      </w:divBdr>
    </w:div>
    <w:div w:id="425465339">
      <w:bodyDiv w:val="1"/>
      <w:marLeft w:val="0"/>
      <w:marRight w:val="0"/>
      <w:marTop w:val="0"/>
      <w:marBottom w:val="0"/>
      <w:divBdr>
        <w:top w:val="none" w:sz="0" w:space="0" w:color="auto"/>
        <w:left w:val="none" w:sz="0" w:space="0" w:color="auto"/>
        <w:bottom w:val="none" w:sz="0" w:space="0" w:color="auto"/>
        <w:right w:val="none" w:sz="0" w:space="0" w:color="auto"/>
      </w:divBdr>
    </w:div>
    <w:div w:id="541209076">
      <w:bodyDiv w:val="1"/>
      <w:marLeft w:val="0"/>
      <w:marRight w:val="0"/>
      <w:marTop w:val="0"/>
      <w:marBottom w:val="0"/>
      <w:divBdr>
        <w:top w:val="none" w:sz="0" w:space="0" w:color="auto"/>
        <w:left w:val="none" w:sz="0" w:space="0" w:color="auto"/>
        <w:bottom w:val="none" w:sz="0" w:space="0" w:color="auto"/>
        <w:right w:val="none" w:sz="0" w:space="0" w:color="auto"/>
      </w:divBdr>
      <w:divsChild>
        <w:div w:id="1255089675">
          <w:marLeft w:val="0"/>
          <w:marRight w:val="0"/>
          <w:marTop w:val="0"/>
          <w:marBottom w:val="0"/>
          <w:divBdr>
            <w:top w:val="none" w:sz="0" w:space="0" w:color="auto"/>
            <w:left w:val="none" w:sz="0" w:space="0" w:color="auto"/>
            <w:bottom w:val="none" w:sz="0" w:space="0" w:color="auto"/>
            <w:right w:val="none" w:sz="0" w:space="0" w:color="auto"/>
          </w:divBdr>
        </w:div>
        <w:div w:id="221675474">
          <w:marLeft w:val="0"/>
          <w:marRight w:val="0"/>
          <w:marTop w:val="0"/>
          <w:marBottom w:val="0"/>
          <w:divBdr>
            <w:top w:val="none" w:sz="0" w:space="0" w:color="auto"/>
            <w:left w:val="none" w:sz="0" w:space="0" w:color="auto"/>
            <w:bottom w:val="none" w:sz="0" w:space="0" w:color="auto"/>
            <w:right w:val="none" w:sz="0" w:space="0" w:color="auto"/>
          </w:divBdr>
        </w:div>
        <w:div w:id="1023628538">
          <w:marLeft w:val="0"/>
          <w:marRight w:val="0"/>
          <w:marTop w:val="0"/>
          <w:marBottom w:val="0"/>
          <w:divBdr>
            <w:top w:val="none" w:sz="0" w:space="0" w:color="auto"/>
            <w:left w:val="none" w:sz="0" w:space="0" w:color="auto"/>
            <w:bottom w:val="none" w:sz="0" w:space="0" w:color="auto"/>
            <w:right w:val="none" w:sz="0" w:space="0" w:color="auto"/>
          </w:divBdr>
        </w:div>
      </w:divsChild>
    </w:div>
    <w:div w:id="650333306">
      <w:bodyDiv w:val="1"/>
      <w:marLeft w:val="0"/>
      <w:marRight w:val="0"/>
      <w:marTop w:val="0"/>
      <w:marBottom w:val="0"/>
      <w:divBdr>
        <w:top w:val="none" w:sz="0" w:space="0" w:color="auto"/>
        <w:left w:val="none" w:sz="0" w:space="0" w:color="auto"/>
        <w:bottom w:val="none" w:sz="0" w:space="0" w:color="auto"/>
        <w:right w:val="none" w:sz="0" w:space="0" w:color="auto"/>
      </w:divBdr>
    </w:div>
    <w:div w:id="672494434">
      <w:bodyDiv w:val="1"/>
      <w:marLeft w:val="0"/>
      <w:marRight w:val="0"/>
      <w:marTop w:val="0"/>
      <w:marBottom w:val="0"/>
      <w:divBdr>
        <w:top w:val="none" w:sz="0" w:space="0" w:color="auto"/>
        <w:left w:val="none" w:sz="0" w:space="0" w:color="auto"/>
        <w:bottom w:val="none" w:sz="0" w:space="0" w:color="auto"/>
        <w:right w:val="none" w:sz="0" w:space="0" w:color="auto"/>
      </w:divBdr>
    </w:div>
    <w:div w:id="700596857">
      <w:bodyDiv w:val="1"/>
      <w:marLeft w:val="0"/>
      <w:marRight w:val="0"/>
      <w:marTop w:val="0"/>
      <w:marBottom w:val="0"/>
      <w:divBdr>
        <w:top w:val="none" w:sz="0" w:space="0" w:color="auto"/>
        <w:left w:val="none" w:sz="0" w:space="0" w:color="auto"/>
        <w:bottom w:val="none" w:sz="0" w:space="0" w:color="auto"/>
        <w:right w:val="none" w:sz="0" w:space="0" w:color="auto"/>
      </w:divBdr>
    </w:div>
    <w:div w:id="709912837">
      <w:bodyDiv w:val="1"/>
      <w:marLeft w:val="0"/>
      <w:marRight w:val="0"/>
      <w:marTop w:val="0"/>
      <w:marBottom w:val="0"/>
      <w:divBdr>
        <w:top w:val="none" w:sz="0" w:space="0" w:color="auto"/>
        <w:left w:val="none" w:sz="0" w:space="0" w:color="auto"/>
        <w:bottom w:val="none" w:sz="0" w:space="0" w:color="auto"/>
        <w:right w:val="none" w:sz="0" w:space="0" w:color="auto"/>
      </w:divBdr>
      <w:divsChild>
        <w:div w:id="1503620925">
          <w:marLeft w:val="0"/>
          <w:marRight w:val="0"/>
          <w:marTop w:val="0"/>
          <w:marBottom w:val="0"/>
          <w:divBdr>
            <w:top w:val="none" w:sz="0" w:space="0" w:color="auto"/>
            <w:left w:val="none" w:sz="0" w:space="0" w:color="auto"/>
            <w:bottom w:val="none" w:sz="0" w:space="0" w:color="auto"/>
            <w:right w:val="none" w:sz="0" w:space="0" w:color="auto"/>
          </w:divBdr>
          <w:divsChild>
            <w:div w:id="1658529403">
              <w:marLeft w:val="150"/>
              <w:marRight w:val="150"/>
              <w:marTop w:val="150"/>
              <w:marBottom w:val="150"/>
              <w:divBdr>
                <w:top w:val="none" w:sz="0" w:space="0" w:color="auto"/>
                <w:left w:val="none" w:sz="0" w:space="0" w:color="auto"/>
                <w:bottom w:val="none" w:sz="0" w:space="0" w:color="auto"/>
                <w:right w:val="none" w:sz="0" w:space="0" w:color="auto"/>
              </w:divBdr>
              <w:divsChild>
                <w:div w:id="109933972">
                  <w:marLeft w:val="0"/>
                  <w:marRight w:val="0"/>
                  <w:marTop w:val="0"/>
                  <w:marBottom w:val="0"/>
                  <w:divBdr>
                    <w:top w:val="single" w:sz="6" w:space="0" w:color="999999"/>
                    <w:left w:val="single" w:sz="6" w:space="0" w:color="999999"/>
                    <w:bottom w:val="single" w:sz="6" w:space="0" w:color="999999"/>
                    <w:right w:val="single" w:sz="6" w:space="0" w:color="999999"/>
                  </w:divBdr>
                  <w:divsChild>
                    <w:div w:id="2083677785">
                      <w:marLeft w:val="0"/>
                      <w:marRight w:val="0"/>
                      <w:marTop w:val="0"/>
                      <w:marBottom w:val="0"/>
                      <w:divBdr>
                        <w:top w:val="none" w:sz="0" w:space="0" w:color="auto"/>
                        <w:left w:val="none" w:sz="0" w:space="0" w:color="auto"/>
                        <w:bottom w:val="none" w:sz="0" w:space="0" w:color="auto"/>
                        <w:right w:val="none" w:sz="0" w:space="0" w:color="auto"/>
                      </w:divBdr>
                      <w:divsChild>
                        <w:div w:id="1589462728">
                          <w:marLeft w:val="0"/>
                          <w:marRight w:val="0"/>
                          <w:marTop w:val="0"/>
                          <w:marBottom w:val="0"/>
                          <w:divBdr>
                            <w:top w:val="none" w:sz="0" w:space="0" w:color="auto"/>
                            <w:left w:val="none" w:sz="0" w:space="0" w:color="auto"/>
                            <w:bottom w:val="none" w:sz="0" w:space="0" w:color="auto"/>
                            <w:right w:val="none" w:sz="0" w:space="0" w:color="auto"/>
                          </w:divBdr>
                          <w:divsChild>
                            <w:div w:id="1565682895">
                              <w:marLeft w:val="0"/>
                              <w:marRight w:val="0"/>
                              <w:marTop w:val="0"/>
                              <w:marBottom w:val="120"/>
                              <w:divBdr>
                                <w:top w:val="none" w:sz="0" w:space="0" w:color="auto"/>
                                <w:left w:val="none" w:sz="0" w:space="0" w:color="auto"/>
                                <w:bottom w:val="none" w:sz="0" w:space="0" w:color="auto"/>
                                <w:right w:val="none" w:sz="0" w:space="0" w:color="auto"/>
                              </w:divBdr>
                              <w:divsChild>
                                <w:div w:id="7269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878663">
      <w:bodyDiv w:val="1"/>
      <w:marLeft w:val="0"/>
      <w:marRight w:val="0"/>
      <w:marTop w:val="0"/>
      <w:marBottom w:val="0"/>
      <w:divBdr>
        <w:top w:val="none" w:sz="0" w:space="0" w:color="auto"/>
        <w:left w:val="none" w:sz="0" w:space="0" w:color="auto"/>
        <w:bottom w:val="none" w:sz="0" w:space="0" w:color="auto"/>
        <w:right w:val="none" w:sz="0" w:space="0" w:color="auto"/>
      </w:divBdr>
    </w:div>
    <w:div w:id="1133476819">
      <w:bodyDiv w:val="1"/>
      <w:marLeft w:val="0"/>
      <w:marRight w:val="0"/>
      <w:marTop w:val="0"/>
      <w:marBottom w:val="0"/>
      <w:divBdr>
        <w:top w:val="none" w:sz="0" w:space="0" w:color="auto"/>
        <w:left w:val="none" w:sz="0" w:space="0" w:color="auto"/>
        <w:bottom w:val="none" w:sz="0" w:space="0" w:color="auto"/>
        <w:right w:val="none" w:sz="0" w:space="0" w:color="auto"/>
      </w:divBdr>
    </w:div>
    <w:div w:id="1324352826">
      <w:bodyDiv w:val="1"/>
      <w:marLeft w:val="0"/>
      <w:marRight w:val="0"/>
      <w:marTop w:val="0"/>
      <w:marBottom w:val="0"/>
      <w:divBdr>
        <w:top w:val="none" w:sz="0" w:space="0" w:color="auto"/>
        <w:left w:val="none" w:sz="0" w:space="0" w:color="auto"/>
        <w:bottom w:val="none" w:sz="0" w:space="0" w:color="auto"/>
        <w:right w:val="none" w:sz="0" w:space="0" w:color="auto"/>
      </w:divBdr>
    </w:div>
    <w:div w:id="1798522342">
      <w:bodyDiv w:val="1"/>
      <w:marLeft w:val="0"/>
      <w:marRight w:val="0"/>
      <w:marTop w:val="0"/>
      <w:marBottom w:val="0"/>
      <w:divBdr>
        <w:top w:val="none" w:sz="0" w:space="0" w:color="auto"/>
        <w:left w:val="none" w:sz="0" w:space="0" w:color="auto"/>
        <w:bottom w:val="none" w:sz="0" w:space="0" w:color="auto"/>
        <w:right w:val="none" w:sz="0" w:space="0" w:color="auto"/>
      </w:divBdr>
    </w:div>
    <w:div w:id="1800107332">
      <w:bodyDiv w:val="1"/>
      <w:marLeft w:val="0"/>
      <w:marRight w:val="0"/>
      <w:marTop w:val="0"/>
      <w:marBottom w:val="0"/>
      <w:divBdr>
        <w:top w:val="none" w:sz="0" w:space="0" w:color="auto"/>
        <w:left w:val="none" w:sz="0" w:space="0" w:color="auto"/>
        <w:bottom w:val="none" w:sz="0" w:space="0" w:color="auto"/>
        <w:right w:val="none" w:sz="0" w:space="0" w:color="auto"/>
      </w:divBdr>
      <w:divsChild>
        <w:div w:id="903642077">
          <w:marLeft w:val="0"/>
          <w:marRight w:val="0"/>
          <w:marTop w:val="0"/>
          <w:marBottom w:val="0"/>
          <w:divBdr>
            <w:top w:val="none" w:sz="0" w:space="0" w:color="auto"/>
            <w:left w:val="none" w:sz="0" w:space="0" w:color="auto"/>
            <w:bottom w:val="none" w:sz="0" w:space="0" w:color="auto"/>
            <w:right w:val="none" w:sz="0" w:space="0" w:color="auto"/>
          </w:divBdr>
          <w:divsChild>
            <w:div w:id="1825077765">
              <w:marLeft w:val="0"/>
              <w:marRight w:val="0"/>
              <w:marTop w:val="0"/>
              <w:marBottom w:val="0"/>
              <w:divBdr>
                <w:top w:val="none" w:sz="0" w:space="0" w:color="auto"/>
                <w:left w:val="none" w:sz="0" w:space="0" w:color="auto"/>
                <w:bottom w:val="none" w:sz="0" w:space="0" w:color="auto"/>
                <w:right w:val="none" w:sz="0" w:space="0" w:color="auto"/>
              </w:divBdr>
              <w:divsChild>
                <w:div w:id="7342400">
                  <w:marLeft w:val="0"/>
                  <w:marRight w:val="0"/>
                  <w:marTop w:val="0"/>
                  <w:marBottom w:val="0"/>
                  <w:divBdr>
                    <w:top w:val="none" w:sz="0" w:space="0" w:color="auto"/>
                    <w:left w:val="none" w:sz="0" w:space="0" w:color="auto"/>
                    <w:bottom w:val="none" w:sz="0" w:space="0" w:color="auto"/>
                    <w:right w:val="none" w:sz="0" w:space="0" w:color="auto"/>
                  </w:divBdr>
                  <w:divsChild>
                    <w:div w:id="1381712407">
                      <w:marLeft w:val="0"/>
                      <w:marRight w:val="0"/>
                      <w:marTop w:val="0"/>
                      <w:marBottom w:val="0"/>
                      <w:divBdr>
                        <w:top w:val="none" w:sz="0" w:space="0" w:color="auto"/>
                        <w:left w:val="none" w:sz="0" w:space="0" w:color="auto"/>
                        <w:bottom w:val="none" w:sz="0" w:space="0" w:color="auto"/>
                        <w:right w:val="none" w:sz="0" w:space="0" w:color="auto"/>
                      </w:divBdr>
                      <w:divsChild>
                        <w:div w:id="154610514">
                          <w:marLeft w:val="0"/>
                          <w:marRight w:val="0"/>
                          <w:marTop w:val="0"/>
                          <w:marBottom w:val="0"/>
                          <w:divBdr>
                            <w:top w:val="none" w:sz="0" w:space="0" w:color="auto"/>
                            <w:left w:val="none" w:sz="0" w:space="0" w:color="auto"/>
                            <w:bottom w:val="none" w:sz="0" w:space="0" w:color="auto"/>
                            <w:right w:val="none" w:sz="0" w:space="0" w:color="auto"/>
                          </w:divBdr>
                        </w:div>
                        <w:div w:id="33771806">
                          <w:marLeft w:val="0"/>
                          <w:marRight w:val="0"/>
                          <w:marTop w:val="0"/>
                          <w:marBottom w:val="0"/>
                          <w:divBdr>
                            <w:top w:val="none" w:sz="0" w:space="0" w:color="auto"/>
                            <w:left w:val="none" w:sz="0" w:space="0" w:color="auto"/>
                            <w:bottom w:val="none" w:sz="0" w:space="0" w:color="auto"/>
                            <w:right w:val="none" w:sz="0" w:space="0" w:color="auto"/>
                          </w:divBdr>
                        </w:div>
                        <w:div w:id="4221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8321">
      <w:bodyDiv w:val="1"/>
      <w:marLeft w:val="0"/>
      <w:marRight w:val="0"/>
      <w:marTop w:val="0"/>
      <w:marBottom w:val="0"/>
      <w:divBdr>
        <w:top w:val="none" w:sz="0" w:space="0" w:color="auto"/>
        <w:left w:val="none" w:sz="0" w:space="0" w:color="auto"/>
        <w:bottom w:val="none" w:sz="0" w:space="0" w:color="auto"/>
        <w:right w:val="none" w:sz="0" w:space="0" w:color="auto"/>
      </w:divBdr>
      <w:divsChild>
        <w:div w:id="1063792272">
          <w:marLeft w:val="0"/>
          <w:marRight w:val="0"/>
          <w:marTop w:val="0"/>
          <w:marBottom w:val="0"/>
          <w:divBdr>
            <w:top w:val="none" w:sz="0" w:space="0" w:color="auto"/>
            <w:left w:val="none" w:sz="0" w:space="0" w:color="auto"/>
            <w:bottom w:val="none" w:sz="0" w:space="0" w:color="auto"/>
            <w:right w:val="none" w:sz="0" w:space="0" w:color="auto"/>
          </w:divBdr>
        </w:div>
      </w:divsChild>
    </w:div>
    <w:div w:id="1929462874">
      <w:bodyDiv w:val="1"/>
      <w:marLeft w:val="0"/>
      <w:marRight w:val="0"/>
      <w:marTop w:val="0"/>
      <w:marBottom w:val="0"/>
      <w:divBdr>
        <w:top w:val="none" w:sz="0" w:space="0" w:color="auto"/>
        <w:left w:val="none" w:sz="0" w:space="0" w:color="auto"/>
        <w:bottom w:val="none" w:sz="0" w:space="0" w:color="auto"/>
        <w:right w:val="none" w:sz="0" w:space="0" w:color="auto"/>
      </w:divBdr>
    </w:div>
    <w:div w:id="202467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handusministeerium.ee/sites/default/files/Riigihangete_poliitika/register/juhis_toetuse_saajatele_al_22.10.2018_280619.pdf" TargetMode="External"/><Relationship Id="rId13" Type="http://schemas.openxmlformats.org/officeDocument/2006/relationships/hyperlink" Target="http://www.mtr.mkm.ee"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mtr.mkm.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tsekoda.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etlikudteadaanded.ee" TargetMode="External"/><Relationship Id="rId4" Type="http://schemas.openxmlformats.org/officeDocument/2006/relationships/settings" Target="settings.xml"/><Relationship Id="rId9" Type="http://schemas.openxmlformats.org/officeDocument/2006/relationships/hyperlink" Target="http://www.rik.ee" TargetMode="External"/><Relationship Id="rId14" Type="http://schemas.openxmlformats.org/officeDocument/2006/relationships/hyperlink" Target="http://www.mtr.mkm.ee" TargetMode="External"/><Relationship Id="rId22" Type="http://schemas.microsoft.com/office/2016/09/relationships/commentsIds" Target="commentsId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28CE0-A9DC-4A4E-9361-93555194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3892</Words>
  <Characters>22576</Characters>
  <Application>Microsoft Office Word</Application>
  <DocSecurity>0</DocSecurity>
  <Lines>188</Lines>
  <Paragraphs>52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kredex</Company>
  <LinksUpToDate>false</LinksUpToDate>
  <CharactersWithSpaces>26416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KredEx</dc:creator>
  <cp:keywords/>
  <dc:description/>
  <cp:lastModifiedBy>KredEx</cp:lastModifiedBy>
  <cp:revision>24</cp:revision>
  <dcterms:created xsi:type="dcterms:W3CDTF">2021-03-24T07:04:00Z</dcterms:created>
  <dcterms:modified xsi:type="dcterms:W3CDTF">2021-03-30T07:27:00Z</dcterms:modified>
</cp:coreProperties>
</file>